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attachedToolbars.bin" ContentType="application/vnd.ms-word.attachedToolbars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86EBCA">
      <w:pPr>
        <w:pStyle w:val="5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60" w:after="80" w:line="240" w:lineRule="auto"/>
        <w:ind w:left="-119" w:right="-136" w:firstLine="119"/>
        <w:jc w:val="both"/>
        <w:textAlignment w:val="auto"/>
        <w:rPr>
          <w:rFonts w:hint="default" w:ascii="Britannic Bold" w:hAnsi="Britannic Bold" w:cs="Britannic Bold"/>
          <w:color w:val="23802A"/>
          <w:sz w:val="52"/>
          <w:szCs w:val="52"/>
          <w:lang w:val="en-US" w:eastAsia="zh-CN"/>
        </w:rPr>
      </w:pPr>
      <w:r>
        <w:rPr>
          <w:rFonts w:hint="default" w:ascii="Britannic Bold" w:hAnsi="Britannic Bold" w:cs="Britannic Bold"/>
          <w:color w:val="23802A"/>
          <w:sz w:val="52"/>
          <w:szCs w:val="52"/>
          <w:lang w:val="en-US" w:eastAsia="zh-CN"/>
        </w:rPr>
        <w:t>RUBBISH</w:t>
      </w:r>
      <w:r>
        <w:rPr>
          <w:rFonts w:hint="eastAsia" w:ascii="汉仪力量黑简" w:hAnsi="汉仪力量黑简" w:eastAsia="汉仪力量黑简" w:cs="汉仪力量黑简"/>
          <w:b w:val="0"/>
          <w:bCs/>
          <w:color w:val="23802A"/>
          <w:sz w:val="52"/>
          <w:szCs w:val="52"/>
          <w:lang w:val="en-US" w:eastAsia="zh-CN"/>
        </w:rPr>
        <w:t>系列期刊</w:t>
      </w:r>
    </w:p>
    <w:p w14:paraId="2674BC1C">
      <w:pPr>
        <w:pStyle w:val="5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sz w:val="44"/>
          <w:szCs w:val="44"/>
          <w:lang w:val="en-US" w:eastAsia="zh-CN"/>
        </w:rPr>
      </w:pPr>
      <w:r>
        <w:rPr>
          <w:rFonts w:hint="eastAsia" w:ascii="方正字迹-龙吟体 简" w:hAnsi="方正字迹-龙吟体 简" w:eastAsia="方正字迹-龙吟体 简" w:cs="方正字迹-龙吟体 简"/>
          <w:sz w:val="52"/>
          <w:szCs w:val="52"/>
          <w:lang w:val="en-US" w:eastAsia="zh-CN"/>
        </w:rPr>
        <w:t>医术神话</w:t>
      </w:r>
      <w:r>
        <w:rPr>
          <w:rFonts w:hint="eastAsia"/>
          <w:sz w:val="44"/>
          <w:szCs w:val="44"/>
          <w:lang w:val="en-US" w:eastAsia="zh-CN"/>
        </w:rPr>
        <w:t>还是</w:t>
      </w:r>
      <w:r>
        <w:rPr>
          <w:rFonts w:hint="eastAsia" w:ascii="方正字迹-龙吟体 简" w:hAnsi="方正字迹-龙吟体 简" w:eastAsia="方正字迹-龙吟体 简" w:cs="方正字迹-龙吟体 简"/>
          <w:sz w:val="52"/>
          <w:szCs w:val="52"/>
          <w:lang w:val="en-US" w:eastAsia="zh-CN"/>
        </w:rPr>
        <w:t>兵法铁律</w:t>
      </w:r>
      <w:r>
        <w:rPr>
          <w:rFonts w:hint="eastAsia"/>
          <w:sz w:val="44"/>
          <w:szCs w:val="44"/>
          <w:lang w:val="en-US" w:eastAsia="zh-CN"/>
        </w:rPr>
        <w:t>？——《新三国》“医术高明”与“骄兵必败”理论冲突研究</w:t>
      </w:r>
    </w:p>
    <w:p w14:paraId="56D645E0">
      <w:pPr>
        <w:pStyle w:val="37"/>
        <w:rPr>
          <w:rFonts w:hint="default" w:eastAsia="宋体"/>
          <w:vertAlign w:val="superscript"/>
          <w:lang w:val="en-US" w:eastAsia="zh-CN"/>
        </w:rPr>
      </w:pPr>
      <w:r>
        <w:rPr>
          <w:rFonts w:hint="eastAsia"/>
          <w:lang w:val="en-US" w:eastAsia="zh-CN"/>
        </w:rPr>
        <w:t xml:space="preserve">天意爷 </w:t>
      </w:r>
      <w:r>
        <w:rPr>
          <w:rFonts w:hint="eastAsia"/>
          <w:vertAlign w:val="superscript"/>
          <w:lang w:val="en-US" w:eastAsia="zh-CN"/>
        </w:rPr>
        <w:t>b,*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 xml:space="preserve">列位诸公 </w:t>
      </w:r>
      <w:r>
        <w:rPr>
          <w:rFonts w:hint="eastAsia"/>
          <w:vertAlign w:val="superscript"/>
          <w:lang w:val="en-US" w:eastAsia="zh-CN"/>
        </w:rPr>
        <w:t>b,*</w:t>
      </w:r>
      <w:r>
        <w:rPr>
          <w:rFonts w:hint="eastAsia"/>
          <w:lang w:val="en-US" w:eastAsia="zh-CN"/>
        </w:rPr>
        <w:t xml:space="preserve">，折棒爷 </w:t>
      </w:r>
      <w:r>
        <w:rPr>
          <w:rFonts w:hint="eastAsia"/>
          <w:vertAlign w:val="superscript"/>
          <w:lang w:val="en-US" w:eastAsia="zh-CN"/>
        </w:rPr>
        <w:t>a,1</w:t>
      </w:r>
      <w:r>
        <w:rPr>
          <w:rFonts w:hint="eastAsia"/>
          <w:lang w:val="en-US" w:eastAsia="zh-CN"/>
        </w:rPr>
        <w:t xml:space="preserve">，[MOMO] 挽杉 </w:t>
      </w:r>
      <w:r>
        <w:rPr>
          <w:rFonts w:hint="eastAsia"/>
          <w:vertAlign w:val="superscript"/>
          <w:lang w:val="en-US" w:eastAsia="zh-CN"/>
        </w:rPr>
        <w:t>a,1</w:t>
      </w:r>
    </w:p>
    <w:p w14:paraId="0F6E680B">
      <w:pPr>
        <w:pStyle w:val="34"/>
        <w:rPr>
          <w:rFonts w:hint="default" w:eastAsia="宋体"/>
          <w:sz w:val="20"/>
          <w:szCs w:val="20"/>
          <w:vertAlign w:val="baseline"/>
          <w:lang w:val="en-US" w:eastAsia="zh-CN"/>
        </w:rPr>
      </w:pPr>
      <w:r>
        <w:rPr>
          <w:rFonts w:hint="eastAsia"/>
          <w:i w:val="0"/>
          <w:iCs/>
          <w:sz w:val="20"/>
          <w:szCs w:val="20"/>
          <w:vertAlign w:val="superscript"/>
          <w:lang w:val="en-US" w:eastAsia="zh-CN"/>
        </w:rPr>
        <w:t>a</w:t>
      </w:r>
      <w:r>
        <w:rPr>
          <w:rFonts w:hint="eastAsia"/>
          <w:sz w:val="20"/>
          <w:szCs w:val="20"/>
          <w:vertAlign w:val="baseline"/>
          <w:lang w:val="en-US" w:eastAsia="zh-CN"/>
        </w:rPr>
        <w:t>曹魏第一高达制造厂，东吴亡灵第一生产军团</w:t>
      </w:r>
    </w:p>
    <w:p w14:paraId="488943B0">
      <w:pPr>
        <w:pStyle w:val="34"/>
        <w:rPr>
          <w:rFonts w:hint="eastAsia"/>
          <w:i w:val="0"/>
          <w:iCs/>
          <w:sz w:val="20"/>
          <w:szCs w:val="20"/>
          <w:vertAlign w:val="baseline"/>
          <w:lang w:val="en-US" w:eastAsia="zh-CN"/>
        </w:rPr>
      </w:pPr>
      <w:r>
        <w:rPr>
          <w:rFonts w:hint="eastAsia"/>
          <w:i w:val="0"/>
          <w:iCs/>
          <w:sz w:val="20"/>
          <w:szCs w:val="20"/>
          <w:vertAlign w:val="superscript"/>
          <w:lang w:val="en-US" w:eastAsia="zh-CN"/>
        </w:rPr>
        <w:t>b</w:t>
      </w:r>
      <w:r>
        <w:rPr>
          <w:rFonts w:hint="eastAsia"/>
          <w:i/>
          <w:iCs w:val="0"/>
          <w:sz w:val="20"/>
          <w:szCs w:val="20"/>
          <w:vertAlign w:val="baseline"/>
          <w:lang w:val="en-US" w:eastAsia="zh-CN"/>
        </w:rPr>
        <w:t>中原第一雄关徐州城，陈留吃什么合作社食堂</w:t>
      </w:r>
    </w:p>
    <w:p w14:paraId="1A00EE1C">
      <w:pPr>
        <w:pStyle w:val="34"/>
        <w:spacing w:after="220"/>
        <w:rPr>
          <w:lang w:eastAsia="zh-CN"/>
        </w:rPr>
      </w:pPr>
    </w:p>
    <w:tbl>
      <w:tblPr>
        <w:tblStyle w:val="17"/>
        <w:tblW w:w="9923" w:type="dxa"/>
        <w:tblInd w:w="108" w:type="dxa"/>
        <w:tblBorders>
          <w:top w:val="none" w:color="auto" w:sz="0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5"/>
        <w:gridCol w:w="760"/>
        <w:gridCol w:w="6308"/>
      </w:tblGrid>
      <w:tr w14:paraId="7A5E86FE">
        <w:tblPrEx>
          <w:tblBorders>
            <w:top w:val="none" w:color="auto" w:sz="0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4" w:hRule="atLeast"/>
        </w:trPr>
        <w:tc>
          <w:tcPr>
            <w:tcW w:w="2855" w:type="dxa"/>
          </w:tcPr>
          <w:p w14:paraId="5D48D0B6">
            <w:pPr>
              <w:pStyle w:val="30"/>
              <w:spacing w:before="220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>A R T I C L E  I N F O</w:t>
            </w:r>
          </w:p>
          <w:p w14:paraId="1F52E021">
            <w:pPr>
              <w:pStyle w:val="68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Article history: </w:t>
            </w:r>
          </w:p>
          <w:p w14:paraId="732CC35C">
            <w:pPr>
              <w:pStyle w:val="47"/>
              <w:rPr>
                <w:rFonts w:hint="default" w:eastAsia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b w:val="0"/>
                <w:bCs w:val="0"/>
                <w:sz w:val="21"/>
                <w:szCs w:val="21"/>
              </w:rPr>
              <w:t xml:space="preserve">Received </w:t>
            </w: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26</w:t>
            </w:r>
            <w:r>
              <w:rPr>
                <w:b w:val="0"/>
                <w:bCs w:val="0"/>
                <w:sz w:val="21"/>
                <w:szCs w:val="21"/>
              </w:rPr>
              <w:t xml:space="preserve"> </w:t>
            </w: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January</w:t>
            </w:r>
            <w:r>
              <w:rPr>
                <w:b w:val="0"/>
                <w:bCs w:val="0"/>
                <w:sz w:val="21"/>
                <w:szCs w:val="21"/>
              </w:rPr>
              <w:t xml:space="preserve"> </w:t>
            </w: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07</w:t>
            </w:r>
          </w:p>
          <w:p w14:paraId="3F8D3BA3">
            <w:pPr>
              <w:pStyle w:val="47"/>
              <w:rPr>
                <w:rFonts w:hint="default" w:eastAsia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b w:val="0"/>
                <w:bCs w:val="0"/>
                <w:sz w:val="21"/>
                <w:szCs w:val="21"/>
              </w:rPr>
              <w:t xml:space="preserve">Received in revised form </w:t>
            </w: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26</w:t>
            </w:r>
            <w:r>
              <w:rPr>
                <w:b w:val="0"/>
                <w:bCs w:val="0"/>
                <w:sz w:val="21"/>
                <w:szCs w:val="21"/>
              </w:rPr>
              <w:t xml:space="preserve"> </w:t>
            </w: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February</w:t>
            </w:r>
            <w:r>
              <w:rPr>
                <w:b w:val="0"/>
                <w:bCs w:val="0"/>
                <w:sz w:val="21"/>
                <w:szCs w:val="21"/>
              </w:rPr>
              <w:t xml:space="preserve"> </w:t>
            </w: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25</w:t>
            </w:r>
          </w:p>
          <w:p w14:paraId="4D0DF209">
            <w:pPr>
              <w:pStyle w:val="47"/>
              <w:rPr>
                <w:rFonts w:hint="eastAsia" w:eastAsia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b w:val="0"/>
                <w:bCs w:val="0"/>
                <w:sz w:val="21"/>
                <w:szCs w:val="21"/>
              </w:rPr>
              <w:t xml:space="preserve">Accepted </w:t>
            </w: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Immediately！</w:t>
            </w:r>
          </w:p>
          <w:p w14:paraId="66076D43">
            <w:pPr>
              <w:rPr>
                <w:b/>
                <w:bCs/>
                <w:sz w:val="18"/>
                <w:szCs w:val="18"/>
                <w:lang w:val="en-US"/>
              </w:rPr>
            </w:pPr>
          </w:p>
          <w:p w14:paraId="0B7AC419">
            <w:pPr>
              <w:pStyle w:val="49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Keywords:</w:t>
            </w:r>
          </w:p>
          <w:p w14:paraId="302AE050">
            <w:pPr>
              <w:pStyle w:val="49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 w:bidi="ar-SA"/>
              </w:rPr>
              <w:t>新三国 折棒爷 天意</w:t>
            </w:r>
            <w:r>
              <w:rPr>
                <w:rFonts w:hint="eastAsia" w:cs="Times New Roman"/>
                <w:b w:val="0"/>
                <w:bCs w:val="0"/>
                <w:sz w:val="21"/>
                <w:szCs w:val="21"/>
                <w:lang w:val="en-US" w:eastAsia="zh-CN" w:bidi="ar-SA"/>
              </w:rPr>
              <w:t>爷</w:t>
            </w:r>
          </w:p>
          <w:p w14:paraId="2AD6902A">
            <w:pPr>
              <w:rPr>
                <w:rFonts w:hint="eastAsia" w:cs="Times New Roman"/>
                <w:b w:val="0"/>
                <w:bCs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 w:bidi="ar-SA"/>
              </w:rPr>
              <w:t>骄兵必败</w:t>
            </w:r>
            <w:r>
              <w:rPr>
                <w:rFonts w:hint="eastAsia" w:cs="Times New Roman"/>
                <w:b w:val="0"/>
                <w:bCs w:val="0"/>
                <w:sz w:val="21"/>
                <w:szCs w:val="21"/>
                <w:lang w:val="en-US" w:eastAsia="zh-CN" w:bidi="ar-SA"/>
              </w:rPr>
              <w:t>，哀兵必胜</w:t>
            </w:r>
          </w:p>
          <w:p w14:paraId="2FC427AA">
            <w:pPr>
              <w:rPr>
                <w:rFonts w:hint="default" w:cs="Times New Roman"/>
                <w:b w:val="0"/>
                <w:bCs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 w:val="0"/>
                <w:bCs w:val="0"/>
                <w:sz w:val="21"/>
                <w:szCs w:val="21"/>
                <w:lang w:val="en-US" w:eastAsia="zh-CN" w:bidi="ar-SA"/>
              </w:rPr>
              <w:t>医者，医死的人越多医术越高明</w:t>
            </w:r>
          </w:p>
          <w:p w14:paraId="01453B75">
            <w:pPr>
              <w:rPr>
                <w:rFonts w:hint="default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1"/>
                <w:szCs w:val="21"/>
                <w:lang w:val="en-US" w:eastAsia="zh-CN" w:bidi="ar-SA"/>
              </w:rPr>
              <w:t>自刎归天！</w:t>
            </w:r>
          </w:p>
        </w:tc>
        <w:tc>
          <w:tcPr>
            <w:tcW w:w="760" w:type="dxa"/>
            <w:tcBorders>
              <w:bottom w:val="nil"/>
            </w:tcBorders>
          </w:tcPr>
          <w:p w14:paraId="4238734F"/>
        </w:tc>
        <w:tc>
          <w:tcPr>
            <w:tcW w:w="6308" w:type="dxa"/>
          </w:tcPr>
          <w:p w14:paraId="4BE722CD">
            <w:pPr>
              <w:pStyle w:val="30"/>
              <w:spacing w:before="220"/>
              <w:rPr>
                <w:b/>
                <w:bCs/>
                <w:smallCaps/>
                <w:sz w:val="24"/>
                <w:szCs w:val="24"/>
              </w:rPr>
            </w:pPr>
            <w:r>
              <w:rPr>
                <w:b/>
                <w:bCs/>
                <w:smallCaps/>
                <w:sz w:val="24"/>
                <w:szCs w:val="24"/>
              </w:rPr>
              <w:t>A B S T R A C T</w:t>
            </w:r>
          </w:p>
          <w:p w14:paraId="388121D9">
            <w:pPr>
              <w:pStyle w:val="31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50" w:lineRule="exact"/>
              <w:ind w:firstLine="480" w:firstLineChars="200"/>
              <w:textAlignment w:val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列位诸公，</w:t>
            </w:r>
            <w:r>
              <w:rPr>
                <w:rFonts w:hint="eastAsia"/>
                <w:sz w:val="24"/>
                <w:szCs w:val="24"/>
              </w:rPr>
              <w:t>新三国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陈</w:t>
            </w:r>
            <w:r>
              <w:rPr>
                <w:rFonts w:hint="eastAsia"/>
                <w:sz w:val="24"/>
                <w:szCs w:val="24"/>
              </w:rPr>
              <w:t>操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言</w:t>
            </w:r>
            <w:r>
              <w:rPr>
                <w:rFonts w:hint="eastAsia"/>
                <w:sz w:val="24"/>
                <w:szCs w:val="24"/>
              </w:rPr>
              <w:t>：</w:t>
            </w:r>
            <w:r>
              <w:rPr>
                <w:rFonts w:hint="eastAsia"/>
                <w:b/>
                <w:bCs/>
                <w:sz w:val="24"/>
                <w:szCs w:val="24"/>
              </w:rPr>
              <w:t>“医者，医过的人越多 医术越高明 换句话说 就是医死的人越多 医术越高明”</w:t>
            </w:r>
            <w:r>
              <w:rPr>
                <w:rFonts w:hint="eastAsia"/>
                <w:b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悲</w:t>
            </w:r>
            <w:r>
              <w:rPr>
                <w:rFonts w:hint="eastAsia"/>
                <w:b/>
                <w:bCs/>
                <w:sz w:val="24"/>
                <w:szCs w:val="24"/>
                <w:lang w:eastAsia="zh-CN"/>
              </w:rPr>
              <w:t>）</w:t>
            </w:r>
            <w:r>
              <w:rPr>
                <w:rFonts w:hint="eastAsia"/>
                <w:sz w:val="24"/>
                <w:szCs w:val="24"/>
                <w:lang w:eastAsia="zh-CN"/>
              </w:rPr>
              <w:t>，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开创了【新三医学】的先河，为诸多东汉医官所奉行；而</w:t>
            </w:r>
            <w:r>
              <w:rPr>
                <w:rFonts w:hint="eastAsia"/>
                <w:sz w:val="24"/>
                <w:szCs w:val="24"/>
              </w:rPr>
              <w:t>反观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作为【新三军事】集大成者的</w:t>
            </w:r>
            <w:r>
              <w:rPr>
                <w:rFonts w:hint="eastAsia"/>
                <w:b/>
                <w:bCs/>
                <w:sz w:val="24"/>
                <w:szCs w:val="24"/>
              </w:rPr>
              <w:t>“骄兵必败 哀兵必胜”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定律</w:t>
            </w:r>
            <w:r>
              <w:rPr>
                <w:rFonts w:hint="eastAsia"/>
                <w:sz w:val="24"/>
                <w:szCs w:val="24"/>
              </w:rPr>
              <w:t>，我们会发现</w:t>
            </w:r>
            <w:r>
              <w:rPr>
                <w:rFonts w:hint="eastAsia"/>
                <w:sz w:val="24"/>
                <w:szCs w:val="24"/>
                <w:lang w:eastAsia="zh-CN"/>
              </w:rPr>
              <w:t>：</w:t>
            </w:r>
            <w:r>
              <w:rPr>
                <w:rFonts w:hint="eastAsia"/>
                <w:sz w:val="24"/>
                <w:szCs w:val="24"/>
              </w:rPr>
              <w:t>医者医死的人越多，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则医者</w:t>
            </w:r>
            <w:r>
              <w:rPr>
                <w:rFonts w:hint="eastAsia"/>
                <w:sz w:val="24"/>
                <w:szCs w:val="24"/>
              </w:rPr>
              <w:t>越成为哀兵，而哀兵必胜，故医术越高明，这符合规律的；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然而</w:t>
            </w:r>
            <w:r>
              <w:rPr>
                <w:rFonts w:hint="eastAsia"/>
                <w:sz w:val="24"/>
                <w:szCs w:val="24"/>
              </w:rPr>
              <w:t>问题是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被医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者</w:t>
            </w:r>
            <w:r>
              <w:rPr>
                <w:rFonts w:hint="eastAsia"/>
                <w:sz w:val="24"/>
                <w:szCs w:val="24"/>
              </w:rPr>
              <w:t>未尝不是哀兵，理当哀兵必胜，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但为何还会遭受成为医官经验包的悲剧（悲）？</w:t>
            </w: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“与其寻找一个原因，不如自己创造一个原因”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，因此网罗天下放佚旧闻，略考其行事，遂成本文，亦欲以究神人之变。</w:t>
            </w:r>
          </w:p>
          <w:p w14:paraId="61BA199D">
            <w:pPr>
              <w:pStyle w:val="31"/>
              <w:spacing w:line="230" w:lineRule="exact"/>
            </w:pPr>
            <w:r>
              <w:rPr>
                <w:rFonts w:hint="eastAsia"/>
                <w:sz w:val="24"/>
                <w:szCs w:val="24"/>
              </w:rPr>
              <w:t>（纯基于新三国理论，纯属娱乐</w:t>
            </w:r>
            <w:r>
              <w:rPr>
                <w:rFonts w:hint="eastAsia"/>
                <w:sz w:val="24"/>
                <w:szCs w:val="24"/>
                <w:lang w:eastAsia="zh-CN"/>
              </w:rPr>
              <w:t>，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请勿过度解读</w:t>
            </w:r>
            <w:r>
              <w:rPr>
                <w:rFonts w:hint="eastAsia"/>
                <w:sz w:val="24"/>
                <w:szCs w:val="24"/>
              </w:rPr>
              <w:t>）</w:t>
            </w:r>
          </w:p>
        </w:tc>
      </w:tr>
    </w:tbl>
    <w:p w14:paraId="0D92E087">
      <w:pPr>
        <w:pStyle w:val="26"/>
        <w:rPr>
          <w:lang w:val="en-GB"/>
        </w:rPr>
      </w:pPr>
    </w:p>
    <w:p w14:paraId="237420C8">
      <w:pPr>
        <w:pStyle w:val="26"/>
        <w:rPr>
          <w:lang w:val="en-GB"/>
        </w:rPr>
      </w:pPr>
    </w:p>
    <w:p w14:paraId="638A6693">
      <w:pPr>
        <w:pStyle w:val="26"/>
        <w:sectPr>
          <w:headerReference r:id="rId7" w:type="first"/>
          <w:footerReference r:id="rId8" w:type="first"/>
          <w:headerReference r:id="rId5" w:type="default"/>
          <w:headerReference r:id="rId6" w:type="even"/>
          <w:footnotePr>
            <w:numFmt w:val="chicago"/>
          </w:footnotePr>
          <w:type w:val="continuous"/>
          <w:pgSz w:w="11907" w:h="15876"/>
          <w:pgMar w:top="77" w:right="947" w:bottom="879" w:left="1038" w:header="714" w:footer="879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titlePg/>
          <w:docGrid w:linePitch="360" w:charSpace="0"/>
        </w:sectPr>
      </w:pPr>
    </w:p>
    <w:p w14:paraId="18B6FAEC">
      <w:pPr>
        <w:pStyle w:val="25"/>
        <w:bidi w:val="0"/>
        <w:spacing w:line="240" w:lineRule="auto"/>
        <w:rPr>
          <w:rFonts w:hint="default"/>
          <w:i/>
          <w:iCs/>
          <w:color w:val="23802A"/>
          <w:sz w:val="30"/>
          <w:szCs w:val="30"/>
          <w:lang w:val="en-US" w:eastAsia="zh-CN"/>
        </w:rPr>
      </w:pPr>
      <w:r>
        <w:rPr>
          <w:rFonts w:hint="eastAsia"/>
          <w:i/>
          <w:iCs/>
          <w:color w:val="23802A"/>
          <w:sz w:val="30"/>
          <w:szCs w:val="30"/>
          <w:lang w:val="en-US" w:eastAsia="zh-CN"/>
        </w:rPr>
        <w:t>Introduction</w:t>
      </w:r>
    </w:p>
    <w:p w14:paraId="725D7B3A">
      <w:pPr>
        <w:pStyle w:val="6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随着折棒爷新三天意理论的深入人心，有关于新三国理论的探讨也逐渐发展，当浮一大白！</w:t>
      </w:r>
    </w:p>
    <w:p w14:paraId="63C605F6">
      <w:pPr>
        <w:pStyle w:val="6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然而，对于新三国两个基本世界观理论，即</w:t>
      </w:r>
      <w:r>
        <w:rPr>
          <w:rFonts w:hint="eastAsia"/>
          <w:b/>
          <w:bCs/>
          <w:sz w:val="24"/>
          <w:szCs w:val="24"/>
          <w:lang w:val="en-US" w:eastAsia="zh-CN"/>
        </w:rPr>
        <w:t>陈操第一军事定律</w:t>
      </w:r>
      <w:r>
        <w:rPr>
          <w:rFonts w:hint="eastAsia"/>
          <w:b/>
          <w:bCs/>
          <w:sz w:val="24"/>
          <w:szCs w:val="24"/>
        </w:rPr>
        <w:t>“骄兵</w:t>
      </w:r>
      <w:r>
        <w:rPr>
          <w:rFonts w:hint="eastAsia"/>
          <w:b/>
          <w:bCs/>
          <w:sz w:val="24"/>
          <w:szCs w:val="24"/>
        </w:rPr>
        <w:t>必败 哀兵必胜”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和</w:t>
      </w:r>
      <w:r>
        <w:rPr>
          <w:rFonts w:hint="eastAsia"/>
          <w:b/>
          <w:bCs/>
          <w:sz w:val="24"/>
          <w:szCs w:val="24"/>
          <w:lang w:val="en-US" w:eastAsia="zh-CN"/>
        </w:rPr>
        <w:t>陈操第二医术定律</w:t>
      </w:r>
      <w:r>
        <w:rPr>
          <w:rFonts w:hint="eastAsia"/>
          <w:b/>
          <w:bCs/>
          <w:sz w:val="24"/>
          <w:szCs w:val="24"/>
        </w:rPr>
        <w:t>“医</w:t>
      </w:r>
      <w:r>
        <w:rPr>
          <w:rFonts w:hint="eastAsia"/>
          <w:b/>
          <w:bCs/>
          <w:sz w:val="24"/>
          <w:szCs w:val="24"/>
        </w:rPr>
        <w:t>者</w:t>
      </w:r>
      <w:r>
        <w:rPr>
          <w:rFonts w:hint="eastAsia"/>
          <w:b/>
          <w:bCs/>
          <w:sz w:val="24"/>
          <w:szCs w:val="24"/>
          <w:lang w:val="en-US" w:eastAsia="zh-CN"/>
        </w:rPr>
        <w:t>...</w:t>
      </w:r>
      <w:r>
        <w:rPr>
          <w:rFonts w:hint="eastAsia"/>
          <w:b/>
          <w:bCs/>
          <w:sz w:val="24"/>
          <w:szCs w:val="24"/>
        </w:rPr>
        <w:t>医死的人越多 医术越高明”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虽然可以解释新三国大部分军事、生活事件发展逻辑，却在研究中被发现存在自身悖论：</w:t>
      </w:r>
    </w:p>
    <w:p w14:paraId="6D44C7F2">
      <w:pPr>
        <w:pStyle w:val="69"/>
        <w:keepNext w:val="0"/>
        <w:keepLines w:val="0"/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80" w:firstLineChars="200"/>
        <w:textAlignment w:val="auto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</w:rPr>
        <w:t>医者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  <w:lang w:val="en-US" w:eastAsia="zh-CN"/>
        </w:rPr>
        <w:t>若</w:t>
      </w:r>
      <w:r>
        <w:rPr>
          <w:rFonts w:hint="eastAsia"/>
          <w:sz w:val="24"/>
          <w:szCs w:val="24"/>
        </w:rPr>
        <w:t>医死的人越多，</w:t>
      </w:r>
      <w:r>
        <w:rPr>
          <w:rFonts w:hint="eastAsia"/>
          <w:sz w:val="24"/>
          <w:szCs w:val="24"/>
          <w:lang w:val="en-US" w:eastAsia="zh-CN"/>
        </w:rPr>
        <w:t>则医者</w:t>
      </w:r>
      <w:r>
        <w:rPr>
          <w:rFonts w:hint="eastAsia"/>
          <w:sz w:val="24"/>
          <w:szCs w:val="24"/>
        </w:rPr>
        <w:t>越成为哀兵，而哀兵必胜，故医术越高明，这符合规律的；</w:t>
      </w:r>
    </w:p>
    <w:p w14:paraId="115B4FC5">
      <w:pPr>
        <w:pStyle w:val="69"/>
        <w:keepNext w:val="0"/>
        <w:keepLines w:val="0"/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</w:rPr>
        <w:t>被医</w:t>
      </w:r>
      <w:r>
        <w:rPr>
          <w:rFonts w:hint="eastAsia"/>
          <w:sz w:val="24"/>
          <w:szCs w:val="24"/>
          <w:lang w:val="en-US" w:eastAsia="zh-CN"/>
        </w:rPr>
        <w:t>者</w:t>
      </w:r>
      <w:r>
        <w:rPr>
          <w:rFonts w:hint="eastAsia"/>
          <w:sz w:val="24"/>
          <w:szCs w:val="24"/>
        </w:rPr>
        <w:t>未尝不是哀兵，理当哀兵必胜，</w:t>
      </w:r>
      <w:r>
        <w:rPr>
          <w:rFonts w:hint="eastAsia"/>
          <w:sz w:val="24"/>
          <w:szCs w:val="24"/>
          <w:lang w:val="en-US" w:eastAsia="zh-CN"/>
        </w:rPr>
        <w:t>但为何还会遭受成为医官经验包的悲剧（悲）？</w:t>
      </w:r>
    </w:p>
    <w:p w14:paraId="588D08BE">
      <w:pPr>
        <w:pStyle w:val="6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在国内外（内外不明，那就是内了！），该问题已经有学者进行考证探讨。其中，</w:t>
      </w:r>
      <w:r>
        <w:rPr>
          <w:rFonts w:hint="eastAsia"/>
          <w:color w:val="00B0F0"/>
          <w:sz w:val="24"/>
          <w:szCs w:val="24"/>
          <w:lang w:val="en-US" w:eastAsia="zh-CN"/>
        </w:rPr>
        <w:t>@游手好闲青大人</w:t>
      </w:r>
      <w:r>
        <w:rPr>
          <w:rFonts w:hint="eastAsia"/>
          <w:sz w:val="24"/>
          <w:szCs w:val="24"/>
          <w:lang w:val="en-US" w:eastAsia="zh-CN"/>
        </w:rPr>
        <w:t xml:space="preserve"> 表示</w:t>
      </w:r>
      <w:r>
        <w:rPr>
          <w:rFonts w:hint="eastAsia"/>
          <w:b/>
          <w:bCs/>
          <w:sz w:val="24"/>
          <w:szCs w:val="24"/>
          <w:lang w:val="en-US" w:eastAsia="zh-CN"/>
        </w:rPr>
        <w:t>“这是很多新三学者容易陷入的一个误区，简单解释就是， 骄兵必胜定律  是针对群体的宏观表现的总结，医术高明定律是针对个体（医者）的微观表现的总结”</w:t>
      </w:r>
      <w:r>
        <w:rPr>
          <w:rFonts w:hint="eastAsia"/>
          <w:sz w:val="24"/>
          <w:szCs w:val="24"/>
          <w:lang w:val="en-US" w:eastAsia="zh-CN"/>
        </w:rPr>
        <w:t>，说的咱家心里舒服死了；</w:t>
      </w:r>
      <w:r>
        <w:rPr>
          <w:rFonts w:hint="eastAsia"/>
          <w:color w:val="00B0F0"/>
          <w:sz w:val="24"/>
          <w:szCs w:val="24"/>
          <w:lang w:val="en-US" w:eastAsia="zh-CN"/>
        </w:rPr>
        <w:t>@鱼27106</w:t>
      </w:r>
      <w:r>
        <w:rPr>
          <w:rFonts w:hint="eastAsia"/>
          <w:sz w:val="24"/>
          <w:szCs w:val="24"/>
          <w:lang w:val="en-US" w:eastAsia="zh-CN"/>
        </w:rPr>
        <w:t xml:space="preserve"> 表示，</w:t>
      </w:r>
      <w:r>
        <w:rPr>
          <w:rFonts w:hint="eastAsia"/>
          <w:b/>
          <w:bCs/>
          <w:sz w:val="24"/>
          <w:szCs w:val="24"/>
          <w:lang w:val="en-US" w:eastAsia="zh-CN"/>
        </w:rPr>
        <w:t>“因为新三还有一条定律是“生死不明，那就是死了。确实，患者被医死后成了哀兵， 哀兵必胜  ，所以病情又有了好转，脱离了死亡状态。但由于病人早就死了，所以缺少了一个人及时去观测他，导致病人进入了“生死不明”的状态，最后还是死了。当然，这种现象并不是所有人都不知道，有一些高级谋士是能够利用这种现象的。像新三诸葛亮“阴养”几万大军，其实就是他主动观测了被医死的病人，把他们救活了，好让他们给自己卖命。[doge] ”</w:t>
      </w:r>
      <w:r>
        <w:rPr>
          <w:rFonts w:hint="eastAsia"/>
          <w:sz w:val="24"/>
          <w:szCs w:val="24"/>
          <w:lang w:val="en-US" w:eastAsia="zh-CN"/>
        </w:rPr>
        <w:t>，也果然有胆识！；</w:t>
      </w:r>
      <w:r>
        <w:rPr>
          <w:rFonts w:hint="eastAsia"/>
          <w:color w:val="00B0F0"/>
          <w:sz w:val="24"/>
          <w:szCs w:val="24"/>
          <w:lang w:val="en-US" w:eastAsia="zh-CN"/>
        </w:rPr>
        <w:t>@独眼蛇</w:t>
      </w:r>
      <w:r>
        <w:rPr>
          <w:rFonts w:hint="eastAsia"/>
          <w:sz w:val="24"/>
          <w:szCs w:val="24"/>
          <w:lang w:val="en-US" w:eastAsia="zh-CN"/>
        </w:rPr>
        <w:t xml:space="preserve"> 认为这是一种顶级权谋：</w:t>
      </w:r>
      <w:r>
        <w:rPr>
          <w:rFonts w:hint="eastAsia"/>
          <w:b/>
          <w:bCs/>
          <w:sz w:val="24"/>
          <w:szCs w:val="24"/>
          <w:lang w:val="en-US" w:eastAsia="zh-CN"/>
        </w:rPr>
        <w:t>“被医死的不是哀兵，在一旁看着自己战友被医死的才是哀兵，通常这种情况会引起医闹，要么哀兵必胜，要么医生迫于压力提高医术治好了哀兵，那他的医术也就更好了，就说这权谋不权谋吧”</w:t>
      </w:r>
      <w:r>
        <w:rPr>
          <w:rFonts w:hint="eastAsia"/>
          <w:sz w:val="24"/>
          <w:szCs w:val="24"/>
          <w:lang w:val="en-US" w:eastAsia="zh-CN"/>
        </w:rPr>
        <w:t>，说的十分透彻；此外，</w:t>
      </w:r>
      <w:r>
        <w:rPr>
          <w:rFonts w:hint="eastAsia"/>
          <w:color w:val="00B0F0"/>
          <w:sz w:val="24"/>
          <w:szCs w:val="24"/>
          <w:lang w:val="en-US" w:eastAsia="zh-CN"/>
        </w:rPr>
        <w:t>@吸贵妃你的福气在后头</w:t>
      </w:r>
      <w:r>
        <w:rPr>
          <w:rFonts w:hint="eastAsia"/>
          <w:sz w:val="24"/>
          <w:szCs w:val="24"/>
          <w:lang w:val="en-US" w:eastAsia="zh-CN"/>
        </w:rPr>
        <w:t xml:space="preserve"> 与 </w:t>
      </w:r>
      <w:r>
        <w:rPr>
          <w:rFonts w:hint="eastAsia"/>
          <w:color w:val="00B0F0"/>
          <w:sz w:val="24"/>
          <w:szCs w:val="24"/>
          <w:lang w:val="en-US" w:eastAsia="zh-CN"/>
        </w:rPr>
        <w:t>@阴天重度依赖</w:t>
      </w:r>
      <w:r>
        <w:rPr>
          <w:rFonts w:hint="eastAsia"/>
          <w:sz w:val="24"/>
          <w:szCs w:val="24"/>
          <w:lang w:val="en-US" w:eastAsia="zh-CN"/>
        </w:rPr>
        <w:t xml:space="preserve"> 分别将其归结为天意：</w:t>
      </w:r>
      <w:r>
        <w:rPr>
          <w:rFonts w:hint="eastAsia"/>
          <w:b/>
          <w:bCs/>
          <w:sz w:val="24"/>
          <w:szCs w:val="24"/>
          <w:lang w:val="en-US" w:eastAsia="zh-CN"/>
        </w:rPr>
        <w:t>“人被医死之后，魂归九天，天意的大手便会发力，让他们借尸还魂继续战斗。比如华雄可以秽土转生成为桂阳军前校尉陈应，卞喜也能从阴间爬上来化名夏侯恩。”</w:t>
      </w:r>
      <w:r>
        <w:rPr>
          <w:rFonts w:hint="eastAsia"/>
          <w:sz w:val="24"/>
          <w:szCs w:val="24"/>
          <w:lang w:val="en-US" w:eastAsia="zh-CN"/>
        </w:rPr>
        <w:t>与</w:t>
      </w:r>
      <w:r>
        <w:rPr>
          <w:rFonts w:hint="eastAsia"/>
          <w:b/>
          <w:bCs/>
          <w:sz w:val="24"/>
          <w:szCs w:val="24"/>
          <w:lang w:val="en-US" w:eastAsia="zh-CN"/>
        </w:rPr>
        <w:t>“经验包仅对医者生效，患者生死更多时候是天意机制在发力，也就是天意侵蚀程度”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，灵活利用天意理论</w:t>
      </w:r>
      <w:r>
        <w:rPr>
          <w:rFonts w:hint="eastAsia"/>
          <w:sz w:val="24"/>
          <w:szCs w:val="24"/>
          <w:lang w:val="en-US" w:eastAsia="zh-CN"/>
        </w:rPr>
        <w:t>；还有观点认为和其他领域有关，</w:t>
      </w:r>
      <w:r>
        <w:rPr>
          <w:rFonts w:hint="eastAsia"/>
          <w:color w:val="00B0F0"/>
          <w:sz w:val="24"/>
          <w:szCs w:val="24"/>
          <w:lang w:val="en-US" w:eastAsia="zh-CN"/>
        </w:rPr>
        <w:t>@登高</w:t>
      </w:r>
      <w:r>
        <w:rPr>
          <w:rFonts w:hint="eastAsia"/>
          <w:sz w:val="24"/>
          <w:szCs w:val="24"/>
          <w:lang w:val="en-US" w:eastAsia="zh-CN"/>
        </w:rPr>
        <w:t xml:space="preserve"> 认为</w:t>
      </w:r>
      <w:r>
        <w:rPr>
          <w:rFonts w:hint="eastAsia"/>
          <w:b/>
          <w:bCs/>
          <w:sz w:val="24"/>
          <w:szCs w:val="24"/>
          <w:lang w:val="en-US" w:eastAsia="zh-CN"/>
        </w:rPr>
        <w:t>“首先，新三疑似崇日，无论是胜骄败哀还是医死术升，其实都是无限月读[doge]”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，也当浮一大白</w:t>
      </w:r>
      <w:r>
        <w:rPr>
          <w:rFonts w:hint="eastAsia"/>
          <w:sz w:val="24"/>
          <w:szCs w:val="24"/>
          <w:lang w:val="en-US" w:eastAsia="zh-CN"/>
        </w:rPr>
        <w:t xml:space="preserve">；而 </w:t>
      </w:r>
      <w:r>
        <w:rPr>
          <w:rFonts w:hint="eastAsia"/>
          <w:color w:val="00B0F0"/>
          <w:sz w:val="24"/>
          <w:szCs w:val="24"/>
          <w:lang w:val="en-US" w:eastAsia="zh-CN"/>
        </w:rPr>
        <w:t>@小红书64E22F5F</w:t>
      </w:r>
      <w:r>
        <w:rPr>
          <w:rFonts w:hint="eastAsia"/>
          <w:sz w:val="24"/>
          <w:szCs w:val="24"/>
          <w:lang w:val="en-US" w:eastAsia="zh-CN"/>
        </w:rPr>
        <w:t xml:space="preserve"> 和 </w:t>
      </w:r>
      <w:r>
        <w:rPr>
          <w:rFonts w:hint="eastAsia"/>
          <w:color w:val="00B0F0"/>
          <w:sz w:val="24"/>
          <w:szCs w:val="24"/>
          <w:lang w:val="en-US" w:eastAsia="zh-CN"/>
        </w:rPr>
        <w:t>@ 帷幕</w:t>
      </w:r>
      <w:r>
        <w:rPr>
          <w:rFonts w:hint="eastAsia"/>
          <w:sz w:val="24"/>
          <w:szCs w:val="24"/>
          <w:lang w:val="en-US" w:eastAsia="zh-CN"/>
        </w:rPr>
        <w:t xml:space="preserve"> 不约而同分别认为</w:t>
      </w:r>
      <w:r>
        <w:rPr>
          <w:rFonts w:hint="eastAsia"/>
          <w:b/>
          <w:bCs/>
          <w:sz w:val="24"/>
          <w:szCs w:val="24"/>
          <w:lang w:val="en-US" w:eastAsia="zh-CN"/>
        </w:rPr>
        <w:t>“因为新三第一人 陈操  说过“死不可怕，死是凉爽的夏夜，可令人无忧的安眠”。所以虽然被医死了，但死的人并没有负面情感，没有触发哀兵必胜[微笑R] ”</w:t>
      </w:r>
      <w:r>
        <w:rPr>
          <w:rFonts w:hint="eastAsia"/>
          <w:sz w:val="24"/>
          <w:szCs w:val="24"/>
          <w:lang w:val="en-US" w:eastAsia="zh-CN"/>
        </w:rPr>
        <w:t>和</w:t>
      </w:r>
      <w:r>
        <w:rPr>
          <w:rFonts w:hint="eastAsia"/>
          <w:b/>
          <w:bCs/>
          <w:sz w:val="24"/>
          <w:szCs w:val="24"/>
          <w:lang w:val="en-US" w:eastAsia="zh-CN"/>
        </w:rPr>
        <w:t>“并没有bug，新三逻辑十分自洽。因为新三宇宙，人死了是好事！所以荀彧会道喜，刘备想自刎归天，刘琦谈到刘表病重一脸笑意，关羽死后见刘备笑的合不拢嘴[暗中观察R]”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</w:t>
      </w:r>
    </w:p>
    <w:p w14:paraId="5E988321">
      <w:pPr>
        <w:pStyle w:val="6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24"/>
          <w:szCs w:val="24"/>
          <w:lang w:val="en-US" w:eastAsia="zh-CN"/>
        </w:rPr>
      </w:pPr>
    </w:p>
    <w:p w14:paraId="0350038E">
      <w:pPr>
        <w:spacing w:line="240" w:lineRule="auto"/>
        <w:jc w:val="center"/>
      </w:pPr>
      <w:r>
        <w:rPr>
          <w:lang w:val="en-US"/>
        </w:rPr>
        <w:drawing>
          <wp:inline distT="0" distB="0" distL="0" distR="0">
            <wp:extent cx="1871345" cy="1638300"/>
            <wp:effectExtent l="0" t="0" r="6985" b="2540"/>
            <wp:docPr id="2" name="Picture 2" descr="C:/Users/任维哲/Desktop/天意学报/创始资料/兵法.jpg兵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/Users/任维哲/Desktop/天意学报/创始资料/兵法.jpg兵法"/>
                    <pic:cNvPicPr>
                      <a:picLocks noChangeAspect="1"/>
                    </pic:cNvPicPr>
                  </pic:nvPicPr>
                  <pic:blipFill>
                    <a:blip r:embed="rId10"/>
                    <a:srcRect t="25634" b="25283"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B1F67">
      <w:pPr>
        <w:pStyle w:val="71"/>
        <w:spacing w:before="220"/>
        <w:rPr>
          <w:rFonts w:hint="eastAsia"/>
          <w:sz w:val="21"/>
          <w:szCs w:val="21"/>
          <w:lang w:val="en-US" w:eastAsia="zh-CN"/>
        </w:rPr>
      </w:pPr>
      <w:r>
        <w:rPr>
          <w:sz w:val="21"/>
          <w:szCs w:val="21"/>
        </w:rPr>
        <w:t xml:space="preserve">Fig. 1 - </w:t>
      </w:r>
      <w:r>
        <w:rPr>
          <w:rFonts w:hint="eastAsia"/>
          <w:sz w:val="21"/>
          <w:szCs w:val="21"/>
          <w:lang w:val="en-US" w:eastAsia="zh-CN"/>
        </w:rPr>
        <w:t>曹氏兵法原理图</w:t>
      </w:r>
    </w:p>
    <w:p w14:paraId="4135EDAC">
      <w:pPr>
        <w:pStyle w:val="71"/>
        <w:spacing w:before="220" w:line="240" w:lineRule="auto"/>
        <w:jc w:val="center"/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1847850" cy="1316990"/>
            <wp:effectExtent l="0" t="0" r="0" b="0"/>
            <wp:docPr id="1" name="图片 1" descr="1ce54c486649101d5e9d09a34beecc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ce54c486649101d5e9d09a34beeccf5"/>
                    <pic:cNvPicPr>
                      <a:picLocks noChangeAspect="1"/>
                    </pic:cNvPicPr>
                  </pic:nvPicPr>
                  <pic:blipFill>
                    <a:blip r:embed="rId11"/>
                    <a:srcRect l="18481" r="20127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48FD9">
      <w:pPr>
        <w:pStyle w:val="71"/>
        <w:spacing w:before="220"/>
        <w:rPr>
          <w:rFonts w:hint="default" w:eastAsia="宋体"/>
          <w:lang w:val="en-US" w:eastAsia="zh-CN"/>
        </w:rPr>
      </w:pPr>
      <w:r>
        <w:rPr>
          <w:sz w:val="21"/>
          <w:szCs w:val="21"/>
        </w:rPr>
        <w:t xml:space="preserve">Fig. </w:t>
      </w:r>
      <w:r>
        <w:rPr>
          <w:rFonts w:hint="eastAsia"/>
          <w:sz w:val="21"/>
          <w:szCs w:val="21"/>
          <w:lang w:val="en-US" w:eastAsia="zh-CN"/>
        </w:rPr>
        <w:t>2</w:t>
      </w:r>
      <w:r>
        <w:rPr>
          <w:sz w:val="21"/>
          <w:szCs w:val="21"/>
        </w:rPr>
        <w:t xml:space="preserve"> - </w:t>
      </w:r>
      <w:r>
        <w:rPr>
          <w:rFonts w:hint="eastAsia"/>
          <w:sz w:val="21"/>
          <w:szCs w:val="21"/>
          <w:lang w:val="en-US" w:eastAsia="zh-CN"/>
        </w:rPr>
        <w:t>医术高明定律考据</w:t>
      </w:r>
    </w:p>
    <w:p w14:paraId="5ED3076F">
      <w:pPr>
        <w:pStyle w:val="25"/>
        <w:bidi w:val="0"/>
        <w:spacing w:line="240" w:lineRule="auto"/>
        <w:rPr>
          <w:rFonts w:hint="eastAsia"/>
          <w:i/>
          <w:iCs/>
          <w:color w:val="23802A"/>
          <w:sz w:val="30"/>
          <w:szCs w:val="30"/>
          <w:lang w:val="en-US" w:eastAsia="zh-CN"/>
        </w:rPr>
      </w:pPr>
      <w:r>
        <w:rPr>
          <w:rFonts w:hint="eastAsia"/>
          <w:i/>
          <w:iCs/>
          <w:color w:val="23802A"/>
          <w:sz w:val="30"/>
          <w:szCs w:val="30"/>
          <w:lang w:val="en-US" w:eastAsia="zh-CN"/>
        </w:rPr>
        <w:t>Methodology</w:t>
      </w:r>
    </w:p>
    <w:p w14:paraId="03BB33C5">
      <w:pPr>
        <w:pStyle w:val="6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显而易见，我们这次不需要研究方法，这一部分就留这句话一人坚守，所有参考资料都当前锋（深谙曹氏兵法），直接通过新三传送门跳过该部分得出结论！</w:t>
      </w:r>
    </w:p>
    <w:p w14:paraId="1E13D981">
      <w:pPr>
        <w:pStyle w:val="25"/>
        <w:bidi w:val="0"/>
        <w:spacing w:line="240" w:lineRule="auto"/>
        <w:rPr>
          <w:rFonts w:hint="eastAsia"/>
          <w:i/>
          <w:iCs/>
          <w:color w:val="23802A"/>
          <w:sz w:val="30"/>
          <w:szCs w:val="30"/>
          <w:lang w:val="en-US" w:eastAsia="zh-CN"/>
        </w:rPr>
      </w:pPr>
      <w:r>
        <w:rPr>
          <w:rFonts w:hint="eastAsia"/>
          <w:i/>
          <w:iCs/>
          <w:color w:val="23802A"/>
          <w:sz w:val="30"/>
          <w:szCs w:val="30"/>
          <w:lang w:val="en-US" w:eastAsia="zh-CN"/>
        </w:rPr>
        <w:t>Result and Discussion</w:t>
      </w:r>
    </w:p>
    <w:p w14:paraId="729DA88E">
      <w:pPr>
        <w:pStyle w:val="6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究其原因，有如下解释：</w:t>
      </w:r>
    </w:p>
    <w:p w14:paraId="31E55852">
      <w:pPr>
        <w:pStyle w:val="69"/>
        <w:keepNext w:val="0"/>
        <w:keepLines w:val="0"/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新三天意规律有宏观规律与微观规律之分，</w:t>
      </w:r>
      <w:r>
        <w:rPr>
          <w:rFonts w:hint="eastAsia"/>
          <w:b/>
          <w:bCs/>
          <w:color w:val="C00000"/>
          <w:sz w:val="24"/>
          <w:szCs w:val="24"/>
          <w:lang w:val="en-US" w:eastAsia="zh-CN"/>
        </w:rPr>
        <w:t>理论有宏观与微观的各自作用域</w:t>
      </w:r>
      <w:r>
        <w:rPr>
          <w:rFonts w:hint="eastAsia"/>
          <w:sz w:val="24"/>
          <w:szCs w:val="24"/>
          <w:lang w:val="en-US" w:eastAsia="zh-CN"/>
        </w:rPr>
        <w:t>；</w:t>
      </w:r>
    </w:p>
    <w:p w14:paraId="768A9C4F">
      <w:pPr>
        <w:pStyle w:val="69"/>
        <w:keepNext w:val="0"/>
        <w:keepLines w:val="0"/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由于新三国</w:t>
      </w:r>
      <w:r>
        <w:rPr>
          <w:rFonts w:hint="eastAsia"/>
          <w:b/>
          <w:bCs/>
          <w:color w:val="C00000"/>
          <w:sz w:val="24"/>
          <w:szCs w:val="24"/>
          <w:lang w:val="en-US" w:eastAsia="zh-CN"/>
        </w:rPr>
        <w:t>陈操定义了“死不可怕，死是凉爽的夏夜”的基本概念</w:t>
      </w:r>
      <w:r>
        <w:rPr>
          <w:rFonts w:hint="eastAsia"/>
          <w:sz w:val="24"/>
          <w:szCs w:val="24"/>
          <w:lang w:val="en-US" w:eastAsia="zh-CN"/>
        </w:rPr>
        <w:t>，因此人死将成为骄兵，打破以往单一理论的约束；</w:t>
      </w:r>
    </w:p>
    <w:p w14:paraId="6E4EA125">
      <w:pPr>
        <w:pStyle w:val="69"/>
        <w:keepNext w:val="0"/>
        <w:keepLines w:val="0"/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default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大多学者忽略一点，新三理论还存在另一个矛盾，由学者</w:t>
      </w:r>
      <w:r>
        <w:rPr>
          <w:rFonts w:hint="eastAsia"/>
          <w:color w:val="00B0F0"/>
          <w:sz w:val="24"/>
          <w:szCs w:val="24"/>
          <w:lang w:val="en-US" w:eastAsia="zh-CN"/>
        </w:rPr>
        <w:t xml:space="preserve"> @momo</w:t>
      </w:r>
      <w:r>
        <w:rPr>
          <w:rFonts w:hint="eastAsia"/>
          <w:sz w:val="24"/>
          <w:szCs w:val="24"/>
          <w:lang w:val="en-US" w:eastAsia="zh-CN"/>
        </w:rPr>
        <w:t xml:space="preserve"> 提出：</w:t>
      </w:r>
      <w:r>
        <w:rPr>
          <w:rFonts w:hint="eastAsia"/>
          <w:b/>
          <w:bCs/>
          <w:sz w:val="24"/>
          <w:szCs w:val="24"/>
          <w:lang w:val="en-US" w:eastAsia="zh-CN"/>
        </w:rPr>
        <w:t>“和事不过三定律矛盾了，医死的人再多，事不过三，医死第三个人后就医不死人了”</w:t>
      </w:r>
      <w:r>
        <w:rPr>
          <w:rFonts w:hint="eastAsia"/>
          <w:sz w:val="24"/>
          <w:szCs w:val="24"/>
          <w:lang w:val="en-US" w:eastAsia="zh-CN"/>
        </w:rPr>
        <w:t xml:space="preserve">，虽然存在反驳，如 </w:t>
      </w:r>
      <w:r>
        <w:rPr>
          <w:rFonts w:hint="eastAsia"/>
          <w:color w:val="00B0F0"/>
          <w:sz w:val="24"/>
          <w:szCs w:val="24"/>
          <w:lang w:val="en-US" w:eastAsia="zh-CN"/>
        </w:rPr>
        <w:t>@Seasons（日常创人版）</w:t>
      </w:r>
      <w:r>
        <w:rPr>
          <w:rFonts w:hint="eastAsia"/>
          <w:sz w:val="24"/>
          <w:szCs w:val="24"/>
          <w:lang w:val="en-US" w:eastAsia="zh-CN"/>
        </w:rPr>
        <w:t xml:space="preserve"> ：</w:t>
      </w:r>
      <w:r>
        <w:rPr>
          <w:rFonts w:hint="eastAsia"/>
          <w:b/>
          <w:bCs/>
          <w:sz w:val="24"/>
          <w:szCs w:val="24"/>
          <w:lang w:val="en-US" w:eastAsia="zh-CN"/>
        </w:rPr>
        <w:t>“不矛盾，医死的人越多医术越高明指的因为接诊数量上去了，医好的人也多，才能称为神医。而就是因为医死的人越多，事不过三，才能治好人，如果没有事不过三定律，那一个医生只会把人一直医死，那叫庸医而不是医术高明，所以是闭环。[棒R]”</w:t>
      </w:r>
      <w:r>
        <w:rPr>
          <w:rFonts w:hint="eastAsia"/>
          <w:b w:val="0"/>
          <w:bCs w:val="0"/>
          <w:sz w:val="24"/>
          <w:szCs w:val="24"/>
          <w:lang w:val="en-US" w:eastAsia="zh-CN"/>
        </w:rPr>
        <w:t>。但我们为什么不反过来想想呢！</w:t>
      </w:r>
      <w:r>
        <w:rPr>
          <w:rFonts w:hint="eastAsia"/>
          <w:b/>
          <w:bCs/>
          <w:color w:val="C00000"/>
          <w:sz w:val="24"/>
          <w:szCs w:val="24"/>
          <w:lang w:val="en-US" w:eastAsia="zh-CN"/>
        </w:rPr>
        <w:t>折棒爷在汉中之战章节分析鸡肋事件的时候发现：</w:t>
      </w:r>
      <w:r>
        <w:rPr>
          <w:rFonts w:hint="eastAsia"/>
          <w:b/>
          <w:bCs/>
          <w:color w:val="C00000"/>
          <w:sz w:val="24"/>
          <w:szCs w:val="24"/>
          <w:lang w:val="en-US" w:eastAsia="zh-CN"/>
        </w:rPr>
        <w:t>汉中地界，“事不过三”定律失效，因此若新三国医官均来自汉中，则“事不过三”定律与“医术高明”定律极为合理自洽！</w:t>
      </w:r>
    </w:p>
    <w:p w14:paraId="1D7F6D9C">
      <w:pPr>
        <w:pStyle w:val="25"/>
        <w:bidi w:val="0"/>
        <w:spacing w:line="240" w:lineRule="auto"/>
        <w:rPr>
          <w:rFonts w:hint="eastAsia"/>
          <w:i/>
          <w:iCs/>
          <w:color w:val="23802A"/>
          <w:sz w:val="30"/>
          <w:szCs w:val="30"/>
          <w:lang w:val="en-US" w:eastAsia="zh-CN"/>
        </w:rPr>
      </w:pPr>
      <w:r>
        <w:rPr>
          <w:rFonts w:hint="eastAsia"/>
          <w:i/>
          <w:iCs/>
          <w:color w:val="23802A"/>
          <w:sz w:val="30"/>
          <w:szCs w:val="30"/>
          <w:lang w:val="en-US" w:eastAsia="zh-CN"/>
        </w:rPr>
        <w:t>Conclusion</w:t>
      </w:r>
      <w:bookmarkStart w:id="0" w:name="_GoBack"/>
      <w:bookmarkEnd w:id="0"/>
    </w:p>
    <w:p w14:paraId="11F97126">
      <w:pPr>
        <w:pStyle w:val="6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好文章啊！比新三剧本还要好啊！</w:t>
      </w:r>
    </w:p>
    <w:p w14:paraId="7BCCA592">
      <w:pPr>
        <w:pStyle w:val="6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</w:p>
    <w:p w14:paraId="3CBC6650">
      <w:pPr>
        <w:pStyle w:val="52"/>
        <w:jc w:val="both"/>
        <w:rPr>
          <w:sz w:val="24"/>
          <w:szCs w:val="24"/>
        </w:rPr>
      </w:pPr>
      <w:r>
        <w:rPr>
          <w:color w:val="23802A"/>
          <w:sz w:val="30"/>
          <w:szCs w:val="30"/>
        </w:rPr>
        <w:t>References</w:t>
      </w:r>
      <w:r>
        <w:rPr>
          <w:color w:val="23802A"/>
          <w:sz w:val="30"/>
          <w:szCs w:val="30"/>
        </w:rPr>
        <w:br w:type="textWrapping"/>
      </w:r>
    </w:p>
    <w:p w14:paraId="3F13F40A">
      <w:pPr>
        <w:pStyle w:val="64"/>
        <w:keepNext w:val="0"/>
        <w:keepLines w:val="0"/>
        <w:pageBreakBefore w:val="0"/>
        <w:widowControl/>
        <w:numPr>
          <w:ilvl w:val="0"/>
          <w:numId w:val="8"/>
        </w:numPr>
        <w:tabs>
          <w:tab w:val="left" w:pos="1980"/>
        </w:tabs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left="238" w:hanging="238"/>
        <w:textAlignment w:val="auto"/>
        <w:rPr>
          <w:rFonts w:hint="eastAsia" w:ascii="Times New Roman" w:hAnsi="Times New Roman" w:eastAsia="黑体" w:cs="黑体"/>
          <w:sz w:val="24"/>
          <w:szCs w:val="24"/>
          <w:lang w:val="en-IN"/>
        </w:rPr>
      </w:pPr>
      <w:r>
        <w:rPr>
          <w:rFonts w:hint="eastAsia" w:ascii="Times New Roman" w:hAnsi="Times New Roman" w:eastAsia="黑体" w:cs="黑体"/>
          <w:sz w:val="24"/>
          <w:szCs w:val="24"/>
          <w:lang w:val="en-IN"/>
        </w:rPr>
        <w:t>新三国 定律辩经 新三国曹操说：“医者，医过的人越多...http://xhslink.com/o/50medN4gECK 复制后打开【小红书】查看笔记！</w:t>
      </w:r>
    </w:p>
    <w:p w14:paraId="240884D6">
      <w:pPr>
        <w:pStyle w:val="64"/>
        <w:keepNext w:val="0"/>
        <w:keepLines w:val="0"/>
        <w:pageBreakBefore w:val="0"/>
        <w:widowControl/>
        <w:numPr>
          <w:ilvl w:val="0"/>
          <w:numId w:val="8"/>
        </w:numPr>
        <w:tabs>
          <w:tab w:val="left" w:pos="1980"/>
        </w:tabs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left="238" w:hanging="238"/>
        <w:textAlignment w:val="auto"/>
        <w:rPr>
          <w:rFonts w:hint="eastAsia" w:ascii="Times New Roman" w:hAnsi="Times New Roman" w:eastAsia="黑体" w:cs="黑体"/>
          <w:sz w:val="24"/>
          <w:szCs w:val="24"/>
          <w:lang w:val="en-IN"/>
        </w:rPr>
      </w:pPr>
      <w:r>
        <w:rPr>
          <w:rFonts w:hint="eastAsia" w:ascii="Times New Roman" w:hAnsi="Times New Roman" w:eastAsia="黑体" w:cs="黑体"/>
          <w:sz w:val="24"/>
          <w:szCs w:val="24"/>
          <w:lang w:val="en-US" w:eastAsia="zh-CN"/>
        </w:rPr>
        <w:t xml:space="preserve">折棒爷. 三国杀up锐评新三国. </w:t>
      </w:r>
    </w:p>
    <w:p w14:paraId="20AE0DFB">
      <w:pPr>
        <w:widowControl/>
        <w:autoSpaceDE w:val="0"/>
        <w:autoSpaceDN w:val="0"/>
        <w:adjustRightInd w:val="0"/>
        <w:spacing w:line="200" w:lineRule="exact"/>
        <w:ind w:left="245" w:hanging="245"/>
        <w:rPr>
          <w:szCs w:val="16"/>
          <w:lang w:val="en-IN" w:eastAsia="en-IN"/>
        </w:rPr>
      </w:pPr>
    </w:p>
    <w:p w14:paraId="7A6D591D">
      <w:pPr>
        <w:widowControl/>
        <w:autoSpaceDE w:val="0"/>
        <w:autoSpaceDN w:val="0"/>
        <w:adjustRightInd w:val="0"/>
        <w:spacing w:line="200" w:lineRule="exact"/>
        <w:ind w:left="245" w:hanging="245"/>
        <w:rPr>
          <w:szCs w:val="16"/>
          <w:lang w:val="en-IN" w:eastAsia="en-IN"/>
        </w:rPr>
        <w:sectPr>
          <w:footnotePr>
            <w:numFmt w:val="chicago"/>
          </w:footnotePr>
          <w:type w:val="continuous"/>
          <w:pgSz w:w="11907" w:h="15876"/>
          <w:pgMar w:top="77" w:right="947" w:bottom="879" w:left="1038" w:header="907" w:footer="1253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equalWidth="0" w:num="2">
            <w:col w:w="4748" w:space="425"/>
            <w:col w:w="4748"/>
          </w:cols>
          <w:titlePg/>
          <w:docGrid w:linePitch="360" w:charSpace="0"/>
        </w:sectPr>
      </w:pPr>
    </w:p>
    <w:p w14:paraId="5FA950BC">
      <w:pPr>
        <w:widowControl/>
        <w:tabs>
          <w:tab w:val="left" w:pos="1644"/>
        </w:tabs>
        <w:autoSpaceDE w:val="0"/>
        <w:autoSpaceDN w:val="0"/>
        <w:adjustRightInd w:val="0"/>
        <w:spacing w:line="200" w:lineRule="exact"/>
        <w:jc w:val="both"/>
        <w:rPr>
          <w:szCs w:val="16"/>
          <w:lang w:val="en-IN" w:eastAsia="en-IN"/>
        </w:rPr>
      </w:pPr>
    </w:p>
    <w:sectPr>
      <w:footnotePr>
        <w:numFmt w:val="chicago"/>
      </w:footnotePr>
      <w:type w:val="continuous"/>
      <w:pgSz w:w="11907" w:h="15876"/>
      <w:pgMar w:top="714" w:right="947" w:bottom="879" w:left="1038" w:header="907" w:footer="1253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equalWidth="0" w:num="2">
        <w:col w:w="4748" w:space="425"/>
        <w:col w:w="4748"/>
      </w:cols>
      <w:titlePg/>
      <w:docGrid w:linePitch="360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macro wne:macroName="PROJECT.THISDOCUMENT.CHINESETEXT"/>
    </wne:keymap>
    <wne:keymap wne:kcmPrimary="0432">
      <wne:macro wne:macroName="PROJECT.THISDOCUMENT.ENGLISHTEXT"/>
    </wne:keymap>
  </wne:keymaps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444ECAD-B48A-4C59-9C4F-A4B6CE10466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DA9DD79-C401-48D2-8FCC-998F53CA1C9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C07342B-8680-4A9D-B8CC-842556EEE6C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21CE3DD7-8241-4862-99B8-21ACBBEEC79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8EDD5FE-441C-4A4B-953F-AFCBF43BD8E0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34B3860E-C371-4A62-B6F4-955B74541E49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7" w:fontKey="{12B42B33-C32F-47DD-AF4D-2F3BADE612F0}"/>
  </w:font>
  <w:font w:name="Univers">
    <w:altName w:val="Arial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1" w:usb3="00000000" w:csb0="000001FF" w:csb1="00000000"/>
    <w:embedRegular r:id="rId8" w:fontKey="{4F3D3A1B-B093-44D2-89F8-0E961581C8FC}"/>
  </w:font>
  <w:font w:name="Batang">
    <w:altName w:val="Malgun Gothic"/>
    <w:panose1 w:val="02030600000101010101"/>
    <w:charset w:val="81"/>
    <w:family w:val="roman"/>
    <w:pitch w:val="default"/>
    <w:sig w:usb0="00000000" w:usb1="00000000" w:usb2="00000030" w:usb3="00000000" w:csb0="0008009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Britannic Bold">
    <w:panose1 w:val="020B0903060703020204"/>
    <w:charset w:val="00"/>
    <w:family w:val="auto"/>
    <w:pitch w:val="default"/>
    <w:sig w:usb0="00000003" w:usb1="00000000" w:usb2="00000000" w:usb3="00000000" w:csb0="20000001" w:csb1="00000000"/>
    <w:embedRegular r:id="rId9" w:fontKey="{CA244E7C-CECA-4E25-827F-F82F30EFD963}"/>
  </w:font>
  <w:font w:name="汉仪力量黑简">
    <w:panose1 w:val="00020600040101010101"/>
    <w:charset w:val="86"/>
    <w:family w:val="auto"/>
    <w:pitch w:val="default"/>
    <w:sig w:usb0="A00002BF" w:usb1="18EF7CFA" w:usb2="00000016" w:usb3="00000000" w:csb0="00040000" w:csb1="00000000"/>
    <w:embedRegular r:id="rId10" w:fontKey="{803350A2-00D3-4C46-84AE-49AC0D79E965}"/>
  </w:font>
  <w:font w:name="汉仪迪升英雄体简">
    <w:panose1 w:val="00020600040101010101"/>
    <w:charset w:val="86"/>
    <w:family w:val="auto"/>
    <w:pitch w:val="default"/>
    <w:sig w:usb0="A00002BF" w:usb1="0ACF64FA" w:usb2="00000016" w:usb3="00000000" w:csb0="0004009F" w:csb1="00000000"/>
  </w:font>
  <w:font w:name="方正字迹-龙吟体 简">
    <w:panose1 w:val="02000500000000000000"/>
    <w:charset w:val="86"/>
    <w:family w:val="auto"/>
    <w:pitch w:val="default"/>
    <w:sig w:usb0="A00002BF" w:usb1="184F6CFA" w:usb2="00000012" w:usb3="00000000" w:csb0="00040001" w:csb1="00000000"/>
    <w:embedRegular r:id="rId11" w:fontKey="{59A1D955-0A50-454D-88D0-A02CFF4F7C8D}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雪君体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KSOFB4AB0A6B">
    <w:panose1 w:val="020B0704020202020204"/>
    <w:charset w:val="00"/>
    <w:family w:val="auto"/>
    <w:pitch w:val="default"/>
    <w:sig w:usb0="00000001" w:usb1="00000000" w:usb2="00000000" w:usb3="00000000" w:csb0="00000001" w:csb1="00000000"/>
    <w:embedRegular r:id="rId12" w:fontKey="{E55BC7D0-E32E-4571-8D33-D4C90979FCA7}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公文黑体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汉仪铸字美心体简">
    <w:altName w:val="汉仪铸字美心体简"/>
    <w:panose1 w:val="00020600040101010101"/>
    <w:charset w:val="86"/>
    <w:family w:val="auto"/>
    <w:pitch w:val="default"/>
    <w:sig w:usb0="8000003F" w:usb1="0ACB7C5A" w:usb2="00000016" w:usb3="00000000" w:csb0="0004009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  <w:embedRegular r:id="rId13" w:fontKey="{288DF329-671A-45DF-93B4-9C2EC8A1DE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AEE636">
    <w:pPr>
      <w:pStyle w:val="11"/>
      <w:rPr>
        <w:rFonts w:hint="default" w:eastAsia="宋体"/>
        <w:lang w:val="en-US" w:eastAsia="zh-CN"/>
      </w:rPr>
    </w:pPr>
    <w:r>
      <w:rPr>
        <w:rFonts w:hint="eastAsia"/>
        <w:lang w:val="en-US" w:eastAsia="zh-CN"/>
      </w:rPr>
      <w:tab/>
    </w:r>
    <w:r>
      <w:rPr>
        <w:rFonts w:hint="eastAsia"/>
        <w:lang w:val="en-US" w:eastAsia="zh-CN"/>
      </w:rPr>
      <w:t>Publish by [MOMO]挽杉  · 主刊RUBBISH · 致谢：折棒爷，灵感 @野生的乌托邦建设者 爷，刊名 @五等分的商鞅 爷，合作 各位百刊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90FF21">
    <w:pPr>
      <w:pStyle w:val="12"/>
      <w:jc w:val="right"/>
      <w:rPr>
        <w:b/>
        <w:sz w:val="19"/>
        <w:szCs w:val="19"/>
      </w:rPr>
    </w:pPr>
    <w:r>
      <w:rPr>
        <w:rFonts w:hint="eastAsia"/>
        <w:smallCaps/>
        <w:lang w:val="en-US" w:eastAsia="zh-CN"/>
      </w:rPr>
      <w:t>The Will Of Heaven —— 胜稿必骄 骄稿必败 败稿必哀 哀稿必胜</w:t>
    </w:r>
    <w:r>
      <w:rPr>
        <w:smallCaps/>
      </w:rPr>
      <w:t xml:space="preserve">                                                                                                                </w:t>
    </w:r>
    <w:sdt>
      <w:sdtPr>
        <w:id w:val="-1945608501"/>
        <w:docPartObj>
          <w:docPartGallery w:val="autotext"/>
        </w:docPartObj>
      </w:sdtPr>
      <w:sdtEndPr>
        <w:rPr>
          <w:b/>
          <w:sz w:val="19"/>
          <w:szCs w:val="19"/>
        </w:rPr>
      </w:sdtEndPr>
      <w:sdtContent>
        <w:r>
          <w:rPr>
            <w:b/>
            <w:sz w:val="19"/>
            <w:szCs w:val="19"/>
          </w:rPr>
          <w:fldChar w:fldCharType="begin"/>
        </w:r>
        <w:r>
          <w:rPr>
            <w:b/>
            <w:sz w:val="19"/>
            <w:szCs w:val="19"/>
          </w:rPr>
          <w:instrText xml:space="preserve"> PAGE   \* MERGEFORMAT </w:instrText>
        </w:r>
        <w:r>
          <w:rPr>
            <w:b/>
            <w:sz w:val="19"/>
            <w:szCs w:val="19"/>
          </w:rPr>
          <w:fldChar w:fldCharType="separate"/>
        </w:r>
        <w:r>
          <w:rPr>
            <w:b/>
            <w:sz w:val="19"/>
            <w:szCs w:val="19"/>
          </w:rPr>
          <w:t>3</w:t>
        </w:r>
        <w:r>
          <w:rPr>
            <w:b/>
            <w:sz w:val="19"/>
            <w:szCs w:val="19"/>
          </w:rPr>
          <w:fldChar w:fldCharType="end"/>
        </w:r>
      </w:sdtContent>
    </w:sdt>
  </w:p>
  <w:p w14:paraId="4B817E3E">
    <w:pPr>
      <w:pStyle w:val="12"/>
      <w:spacing w:after="210" w:line="240" w:lineRule="auto"/>
      <w:jc w:val="right"/>
    </w:pPr>
    <w:r>
      <w:rPr>
        <w:iCs/>
      </w:rPr>
      <w:pict>
        <v:rect id="_x0000_i1025" o:spt="1" style="height:0.5pt;width:496.15pt;" fillcolor="#000000" filled="t" stroked="f" coordsize="21600,21600" o:hr="t" o:hrstd="t" o:hrnoshade="t" o:hrpct="0">
          <v:path/>
          <v:fill on="t" focussize="0,0"/>
          <v:stroke on="f"/>
          <v:imagedata o:title=""/>
          <o:lock v:ext="edit"/>
          <w10:wrap type="none"/>
          <w10:anchorlock/>
        </v:rect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307233098"/>
      <w:docPartObj>
        <w:docPartGallery w:val="autotext"/>
      </w:docPartObj>
    </w:sdtPr>
    <w:sdtContent>
      <w:p w14:paraId="30857B1C">
        <w:pPr>
          <w:pStyle w:val="12"/>
        </w:pPr>
        <w:r>
          <w:rPr>
            <w:b/>
            <w:sz w:val="19"/>
            <w:szCs w:val="19"/>
          </w:rPr>
          <w:fldChar w:fldCharType="begin"/>
        </w:r>
        <w:r>
          <w:rPr>
            <w:b/>
            <w:sz w:val="19"/>
            <w:szCs w:val="19"/>
          </w:rPr>
          <w:instrText xml:space="preserve"> PAGE   \* MERGEFORMAT </w:instrText>
        </w:r>
        <w:r>
          <w:rPr>
            <w:b/>
            <w:sz w:val="19"/>
            <w:szCs w:val="19"/>
          </w:rPr>
          <w:fldChar w:fldCharType="separate"/>
        </w:r>
        <w:r>
          <w:rPr>
            <w:b/>
            <w:sz w:val="19"/>
            <w:szCs w:val="19"/>
          </w:rPr>
          <w:t>2</w:t>
        </w:r>
        <w:r>
          <w:rPr>
            <w:b/>
            <w:sz w:val="19"/>
            <w:szCs w:val="19"/>
          </w:rPr>
          <w:fldChar w:fldCharType="end"/>
        </w:r>
        <w:r>
          <w:tab/>
        </w:r>
        <w:r>
          <w:rPr>
            <w:rFonts w:hint="eastAsia"/>
            <w:smallCaps/>
            <w:lang w:val="en-US" w:eastAsia="zh-CN"/>
          </w:rPr>
          <w:t>The Will Of Heaven —— 胜稿必骄 骄稿必败 败稿必哀 哀稿必胜</w:t>
        </w:r>
      </w:p>
      <w:p w14:paraId="2DCDC6FA">
        <w:pPr>
          <w:pStyle w:val="12"/>
          <w:spacing w:after="210" w:line="240" w:lineRule="auto"/>
        </w:pPr>
        <w:r>
          <w:rPr>
            <w:iCs/>
          </w:rPr>
          <w:pict>
            <v:rect id="_x0000_i1026" o:spt="1" style="height:0.5pt;width:496.15pt;" fillcolor="#000000" filled="t" stroked="f" coordsize="21600,21600" o:hr="t" o:hrstd="t" o:hrnoshade="t" o:hrpct="0">
              <v:path/>
              <v:fill on="t" focussize="0,0"/>
              <v:stroke on="f"/>
              <v:imagedata o:title=""/>
              <o:lock v:ext="edit"/>
              <w10:wrap type="none"/>
              <w10:anchorlock/>
            </v:rect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7"/>
      <w:tblW w:w="9923" w:type="dxa"/>
      <w:jc w:val="center"/>
      <w:tblBorders>
        <w:top w:val="none" w:color="auto" w:sz="0" w:space="0"/>
        <w:left w:val="none" w:color="auto" w:sz="0" w:space="0"/>
        <w:bottom w:val="single" w:color="auto" w:sz="36" w:space="0"/>
        <w:right w:val="none" w:color="auto" w:sz="0" w:space="0"/>
        <w:insideH w:val="none" w:color="auto" w:sz="0" w:space="0"/>
        <w:insideV w:val="none" w:color="auto" w:sz="0" w:space="0"/>
      </w:tblBorders>
      <w:shd w:val="pct10" w:color="F1F1F1" w:themeColor="background1" w:themeShade="F2" w:fill="auto"/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1277"/>
      <w:gridCol w:w="7458"/>
      <w:gridCol w:w="1188"/>
    </w:tblGrid>
    <w:tr w14:paraId="7F3F94C6">
      <w:tblPrEx>
        <w:tblBorders>
          <w:top w:val="none" w:color="auto" w:sz="0" w:space="0"/>
          <w:left w:val="none" w:color="auto" w:sz="0" w:space="0"/>
          <w:bottom w:val="single" w:color="auto" w:sz="36" w:space="0"/>
          <w:right w:val="none" w:color="auto" w:sz="0" w:space="0"/>
          <w:insideH w:val="none" w:color="auto" w:sz="0" w:space="0"/>
          <w:insideV w:val="none" w:color="auto" w:sz="0" w:space="0"/>
        </w:tblBorders>
        <w:shd w:val="pct10" w:color="F1F1F1" w:themeColor="background1" w:themeShade="F2" w:fill="auto"/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57" w:hRule="atLeast"/>
        <w:jc w:val="center"/>
      </w:trPr>
      <w:tc>
        <w:tcPr>
          <w:tcW w:w="1277" w:type="dxa"/>
          <w:tcBorders>
            <w:bottom w:val="single" w:color="auto" w:sz="2" w:space="0"/>
          </w:tcBorders>
          <w:shd w:val="pct10" w:color="F1F1F1" w:themeColor="background1" w:themeShade="F2" w:fill="auto"/>
          <w:vAlign w:val="bottom"/>
        </w:tcPr>
        <w:p w14:paraId="452E7E69">
          <w:pPr>
            <w:pBdr>
              <w:bottom w:val="none" w:color="auto" w:sz="0" w:space="0"/>
            </w:pBdr>
            <w:jc w:val="both"/>
          </w:pPr>
        </w:p>
      </w:tc>
      <w:tc>
        <w:tcPr>
          <w:tcW w:w="7458" w:type="dxa"/>
          <w:tcBorders>
            <w:bottom w:val="single" w:color="auto" w:sz="2" w:space="0"/>
          </w:tcBorders>
          <w:shd w:val="pct10" w:color="F1F1F1" w:themeColor="background1" w:themeShade="F2" w:fill="auto"/>
        </w:tcPr>
        <w:p w14:paraId="35A366CE">
          <w:pPr>
            <w:pStyle w:val="72"/>
            <w:pBdr>
              <w:bottom w:val="none" w:color="auto" w:sz="0" w:space="0"/>
            </w:pBdr>
            <w:spacing w:after="240"/>
            <w:rPr>
              <w:rFonts w:hint="default" w:eastAsia="宋体"/>
              <w:lang w:val="en-US" w:eastAsia="zh-CN"/>
            </w:rPr>
          </w:pPr>
          <w:r>
            <w:rPr>
              <w:rFonts w:hint="eastAsia" w:ascii="宋体" w:hAnsi="宋体" w:cs="宋体"/>
              <w:lang w:val="en-US" w:eastAsia="zh-CN"/>
            </w:rPr>
            <w:t xml:space="preserve">The Will Of Heaven —— </w:t>
          </w:r>
          <w:r>
            <w:rPr>
              <w:rFonts w:hint="eastAsia" w:ascii="宋体" w:hAnsi="宋体" w:eastAsia="宋体" w:cs="宋体"/>
              <w:lang w:val="en-US" w:eastAsia="zh-CN"/>
            </w:rPr>
            <w:t>胜稿必骄</w:t>
          </w:r>
          <w:r>
            <w:rPr>
              <w:rFonts w:hint="eastAsia" w:ascii="宋体" w:hAnsi="宋体" w:cs="宋体"/>
              <w:lang w:val="en-US" w:eastAsia="zh-CN"/>
            </w:rPr>
            <w:t xml:space="preserve"> </w:t>
          </w:r>
          <w:r>
            <w:rPr>
              <w:rFonts w:hint="eastAsia" w:ascii="宋体" w:hAnsi="宋体" w:eastAsia="宋体" w:cs="宋体"/>
              <w:lang w:val="en-US" w:eastAsia="zh-CN"/>
            </w:rPr>
            <w:t>骄稿必败</w:t>
          </w:r>
          <w:r>
            <w:rPr>
              <w:rFonts w:hint="eastAsia" w:ascii="宋体" w:hAnsi="宋体" w:cs="宋体"/>
              <w:lang w:val="en-US" w:eastAsia="zh-CN"/>
            </w:rPr>
            <w:t xml:space="preserve"> </w:t>
          </w:r>
          <w:r>
            <w:rPr>
              <w:rFonts w:hint="eastAsia" w:ascii="宋体" w:hAnsi="宋体" w:eastAsia="宋体" w:cs="宋体"/>
              <w:lang w:val="en-US" w:eastAsia="zh-CN"/>
            </w:rPr>
            <w:t>败稿必哀</w:t>
          </w:r>
          <w:r>
            <w:rPr>
              <w:rFonts w:hint="eastAsia" w:ascii="宋体" w:hAnsi="宋体" w:cs="宋体"/>
              <w:lang w:val="en-US" w:eastAsia="zh-CN"/>
            </w:rPr>
            <w:t xml:space="preserve"> </w:t>
          </w:r>
          <w:r>
            <w:rPr>
              <w:rFonts w:hint="eastAsia" w:ascii="宋体" w:hAnsi="宋体" w:eastAsia="宋体" w:cs="宋体"/>
              <w:lang w:val="en-US" w:eastAsia="zh-CN"/>
            </w:rPr>
            <w:t>哀稿必胜</w:t>
          </w:r>
        </w:p>
      </w:tc>
      <w:tc>
        <w:tcPr>
          <w:tcW w:w="1188" w:type="dxa"/>
          <w:tcBorders>
            <w:bottom w:val="nil"/>
          </w:tcBorders>
          <w:shd w:val="pct10" w:color="F1F1F1" w:themeColor="background1" w:themeShade="F2" w:fill="auto"/>
          <w:vAlign w:val="center"/>
        </w:tcPr>
        <w:p w14:paraId="54A9281C">
          <w:pPr>
            <w:pStyle w:val="12"/>
            <w:pBdr>
              <w:bottom w:val="none" w:color="auto" w:sz="0" w:space="0"/>
            </w:pBdr>
            <w:tabs>
              <w:tab w:val="left" w:pos="6804"/>
            </w:tabs>
            <w:jc w:val="center"/>
          </w:pPr>
        </w:p>
      </w:tc>
    </w:tr>
    <w:tr w14:paraId="166F2E54">
      <w:tblPrEx>
        <w:tblBorders>
          <w:top w:val="none" w:color="auto" w:sz="0" w:space="0"/>
          <w:left w:val="none" w:color="auto" w:sz="0" w:space="0"/>
          <w:bottom w:val="single" w:color="auto" w:sz="36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57" w:hRule="atLeast"/>
        <w:jc w:val="center"/>
      </w:trPr>
      <w:tc>
        <w:tcPr>
          <w:tcW w:w="1277" w:type="dxa"/>
          <w:vMerge w:val="restart"/>
          <w:tcBorders>
            <w:top w:val="single" w:color="auto" w:sz="2" w:space="0"/>
          </w:tcBorders>
          <w:shd w:val="pct10" w:color="F1F1F1" w:themeColor="background1" w:themeShade="F2" w:fill="auto"/>
        </w:tcPr>
        <w:p w14:paraId="3934CB13">
          <w:pPr>
            <w:pBdr>
              <w:bottom w:val="none" w:color="auto" w:sz="0" w:space="0"/>
            </w:pBdr>
            <w:rPr>
              <w:rFonts w:hint="eastAsia" w:eastAsia="宋体"/>
              <w:lang w:val="en-US" w:eastAsia="zh-CN"/>
            </w:rPr>
          </w:pPr>
          <w:r>
            <w:rPr>
              <w:rFonts w:hint="eastAsia" w:eastAsia="宋体"/>
              <w:lang w:val="en-US" w:eastAsia="zh-CN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-68580</wp:posOffset>
                </wp:positionH>
                <wp:positionV relativeFrom="paragraph">
                  <wp:posOffset>153670</wp:posOffset>
                </wp:positionV>
                <wp:extent cx="819785" cy="837565"/>
                <wp:effectExtent l="0" t="0" r="635" b="4445"/>
                <wp:wrapTopAndBottom/>
                <wp:docPr id="5" name="图片 5" descr="图标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图片 5" descr="图标4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16250" t="12048" r="14342" b="685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9785" cy="8375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458" w:type="dxa"/>
          <w:tcBorders>
            <w:top w:val="single" w:color="auto" w:sz="2" w:space="0"/>
          </w:tcBorders>
          <w:shd w:val="pct10" w:color="F1F1F1" w:themeColor="background1" w:themeShade="F2" w:fill="auto"/>
        </w:tcPr>
        <w:p w14:paraId="1B9C1C53">
          <w:pPr>
            <w:pBdr>
              <w:bottom w:val="none" w:color="auto" w:sz="0" w:space="0"/>
            </w:pBdr>
          </w:pPr>
        </w:p>
      </w:tc>
      <w:tc>
        <w:tcPr>
          <w:tcW w:w="1188" w:type="dxa"/>
          <w:vMerge w:val="restart"/>
          <w:tcBorders>
            <w:top w:val="nil"/>
          </w:tcBorders>
          <w:shd w:val="pct10" w:color="F1F1F1" w:themeColor="background1" w:themeShade="F2" w:fill="auto"/>
          <w:vAlign w:val="center"/>
        </w:tcPr>
        <w:p w14:paraId="4F79B766">
          <w:pPr>
            <w:pStyle w:val="12"/>
            <w:pBdr>
              <w:bottom w:val="none" w:color="auto" w:sz="0" w:space="0"/>
            </w:pBdr>
            <w:tabs>
              <w:tab w:val="left" w:pos="6804"/>
            </w:tabs>
            <w:jc w:val="center"/>
          </w:pPr>
          <w:r>
            <w:rPr>
              <w:rFonts w:hint="eastAsia" w:eastAsia="宋体"/>
              <w:lang w:val="en-US" w:eastAsia="zh-CN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1270</wp:posOffset>
                </wp:positionV>
                <wp:extent cx="663575" cy="958850"/>
                <wp:effectExtent l="0" t="0" r="5715" b="1905"/>
                <wp:wrapTopAndBottom/>
                <wp:docPr id="6" name="图片 6" descr="新三国演义学者顶级底刊-天意学报_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图片 6" descr="新三国演义学者顶级底刊-天意学报_0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3575" cy="958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  <w:tr w14:paraId="6B445E45">
      <w:tblPrEx>
        <w:tblBorders>
          <w:top w:val="none" w:color="auto" w:sz="0" w:space="0"/>
          <w:left w:val="none" w:color="auto" w:sz="0" w:space="0"/>
          <w:bottom w:val="single" w:color="auto" w:sz="36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57" w:hRule="atLeast"/>
        <w:jc w:val="center"/>
      </w:trPr>
      <w:tc>
        <w:tcPr>
          <w:tcW w:w="1277" w:type="dxa"/>
          <w:vMerge w:val="continue"/>
          <w:shd w:val="pct10" w:color="F1F1F1" w:themeColor="background1" w:themeShade="F2" w:fill="auto"/>
        </w:tcPr>
        <w:p w14:paraId="20AE15B2">
          <w:pPr>
            <w:pStyle w:val="12"/>
            <w:pBdr>
              <w:bottom w:val="none" w:color="auto" w:sz="0" w:space="0"/>
            </w:pBdr>
            <w:tabs>
              <w:tab w:val="left" w:pos="6804"/>
            </w:tabs>
            <w:rPr>
              <w:lang w:val="en-IN" w:eastAsia="en-IN"/>
            </w:rPr>
          </w:pPr>
        </w:p>
      </w:tc>
      <w:tc>
        <w:tcPr>
          <w:tcW w:w="7458" w:type="dxa"/>
          <w:shd w:val="clear" w:color="auto" w:fill="D8D8D8" w:themeFill="background1" w:themeFillShade="D9"/>
        </w:tcPr>
        <w:p w14:paraId="2F20E412">
          <w:pPr>
            <w:pStyle w:val="12"/>
            <w:pBdr>
              <w:bottom w:val="none" w:color="auto" w:sz="0" w:space="0"/>
            </w:pBdr>
            <w:tabs>
              <w:tab w:val="center" w:pos="3329"/>
              <w:tab w:val="left" w:pos="5284"/>
            </w:tabs>
            <w:spacing w:after="0" w:line="220" w:lineRule="atLeast"/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 xml:space="preserve">Available online at </w:t>
          </w:r>
          <w:r>
            <w:rPr>
              <w:rFonts w:ascii="Arial" w:hAnsi="Arial" w:cs="Arial"/>
              <w:color w:val="0070C0"/>
              <w:sz w:val="18"/>
              <w:szCs w:val="18"/>
            </w:rPr>
            <w:fldChar w:fldCharType="begin"/>
          </w:r>
          <w:r>
            <w:rPr>
              <w:rFonts w:ascii="Arial" w:hAnsi="Arial" w:cs="Arial"/>
              <w:color w:val="0070C0"/>
              <w:sz w:val="18"/>
              <w:szCs w:val="18"/>
            </w:rPr>
            <w:instrText xml:space="preserve"> HYPERLINK "https://webofnothing.top/" </w:instrText>
          </w:r>
          <w:r>
            <w:rPr>
              <w:rFonts w:ascii="Arial" w:hAnsi="Arial" w:cs="Arial"/>
              <w:color w:val="0070C0"/>
              <w:sz w:val="18"/>
              <w:szCs w:val="18"/>
            </w:rPr>
            <w:fldChar w:fldCharType="separate"/>
          </w:r>
          <w:r>
            <w:rPr>
              <w:rFonts w:ascii="Arial" w:hAnsi="Arial" w:cs="Arial"/>
              <w:color w:val="0070C0"/>
              <w:sz w:val="18"/>
              <w:szCs w:val="18"/>
            </w:rPr>
            <w:t>Web of Nothing — The Premier Index of Nothing</w:t>
          </w:r>
          <w:r>
            <w:rPr>
              <w:rFonts w:ascii="Arial" w:hAnsi="Arial" w:cs="Arial"/>
              <w:color w:val="0070C0"/>
              <w:sz w:val="18"/>
              <w:szCs w:val="18"/>
            </w:rPr>
            <w:fldChar w:fldCharType="end"/>
          </w:r>
        </w:p>
        <w:p w14:paraId="775F5695">
          <w:pPr>
            <w:pStyle w:val="12"/>
            <w:pBdr>
              <w:bottom w:val="none" w:color="auto" w:sz="0" w:space="0"/>
            </w:pBdr>
            <w:tabs>
              <w:tab w:val="center" w:pos="3329"/>
              <w:tab w:val="left" w:pos="5284"/>
            </w:tabs>
            <w:spacing w:after="0" w:line="220" w:lineRule="atLeast"/>
            <w:jc w:val="center"/>
            <w:rPr>
              <w:rFonts w:ascii="Arial" w:hAnsi="Arial" w:cs="Arial"/>
              <w:sz w:val="21"/>
              <w:szCs w:val="21"/>
            </w:rPr>
          </w:pPr>
        </w:p>
        <w:p w14:paraId="20ADC0C1">
          <w:pPr>
            <w:pStyle w:val="12"/>
            <w:pBdr>
              <w:bottom w:val="none" w:color="auto" w:sz="0" w:space="0"/>
            </w:pBdr>
            <w:spacing w:after="0"/>
            <w:jc w:val="center"/>
            <w:rPr>
              <w:rStyle w:val="22"/>
              <w:rFonts w:hint="default" w:ascii="Times New Roman" w:hAnsi="Times New Roman" w:eastAsia="宋体" w:cs="Arial"/>
              <w:i/>
              <w:iCs/>
              <w:color w:val="auto"/>
              <w:sz w:val="36"/>
              <w:szCs w:val="36"/>
              <w:lang w:val="en-US" w:eastAsia="zh-CN"/>
            </w:rPr>
          </w:pPr>
          <w:r>
            <w:rPr>
              <w:rFonts w:hint="eastAsia" w:ascii="Times New Roman" w:hAnsi="Times New Roman"/>
              <w:iCs/>
              <w:color w:val="auto"/>
              <w:sz w:val="36"/>
              <w:szCs w:val="36"/>
              <w:lang w:val="en-US" w:eastAsia="zh-CN"/>
            </w:rPr>
            <w:t xml:space="preserve">The </w:t>
          </w:r>
          <w:r>
            <w:rPr>
              <w:rFonts w:hint="eastAsia"/>
              <w:iCs/>
              <w:color w:val="auto"/>
              <w:sz w:val="36"/>
              <w:szCs w:val="36"/>
              <w:lang w:val="en-US" w:eastAsia="zh-CN"/>
            </w:rPr>
            <w:t xml:space="preserve">Will Of Heaven | </w:t>
          </w:r>
          <w:r>
            <w:rPr>
              <w:rFonts w:hint="eastAsia" w:ascii="Times New Roman" w:hAnsi="Times New Roman"/>
              <w:iCs/>
              <w:color w:val="auto"/>
              <w:sz w:val="36"/>
              <w:szCs w:val="36"/>
              <w:lang w:val="en-US" w:eastAsia="zh-CN"/>
            </w:rPr>
            <w:t>天意学报</w:t>
          </w:r>
        </w:p>
        <w:p w14:paraId="1559A5D7">
          <w:pPr>
            <w:pStyle w:val="12"/>
            <w:pBdr>
              <w:bottom w:val="none" w:color="auto" w:sz="0" w:space="0"/>
            </w:pBdr>
            <w:spacing w:after="0"/>
            <w:jc w:val="center"/>
            <w:rPr>
              <w:rStyle w:val="22"/>
              <w:rFonts w:ascii="Arial" w:hAnsi="Arial" w:cs="Arial"/>
              <w:i/>
              <w:iCs/>
              <w:color w:val="0000FF"/>
              <w:sz w:val="18"/>
            </w:rPr>
          </w:pPr>
        </w:p>
        <w:p w14:paraId="5C605C35">
          <w:pPr>
            <w:pStyle w:val="12"/>
            <w:pBdr>
              <w:bottom w:val="none" w:color="auto" w:sz="0" w:space="0"/>
            </w:pBdr>
            <w:spacing w:after="0" w:line="220" w:lineRule="atLeast"/>
            <w:jc w:val="center"/>
            <w:rPr>
              <w:rFonts w:hint="default" w:eastAsia="宋体"/>
              <w:sz w:val="18"/>
              <w:szCs w:val="18"/>
              <w:lang w:val="en-US" w:eastAsia="zh-CN"/>
            </w:rPr>
          </w:pPr>
          <w:r>
            <w:rPr>
              <w:iCs/>
              <w:sz w:val="18"/>
              <w:szCs w:val="18"/>
            </w:rPr>
            <w:t xml:space="preserve">Journal homepage: </w:t>
          </w:r>
          <w:r>
            <w:rPr>
              <w:rFonts w:hint="eastAsia"/>
              <w:iCs/>
              <w:color w:val="0070C0"/>
              <w:sz w:val="18"/>
              <w:szCs w:val="18"/>
              <w:lang w:val="en-US" w:eastAsia="zh-CN"/>
            </w:rPr>
            <w:t>http://</w:t>
          </w:r>
          <w:r>
            <w:rPr>
              <w:iCs/>
              <w:color w:val="0070C0"/>
              <w:sz w:val="18"/>
              <w:szCs w:val="18"/>
            </w:rPr>
            <w:fldChar w:fldCharType="begin"/>
          </w:r>
          <w:r>
            <w:rPr>
              <w:iCs/>
              <w:color w:val="0070C0"/>
              <w:sz w:val="18"/>
              <w:szCs w:val="18"/>
            </w:rPr>
            <w:instrText xml:space="preserve"> HYPERLINK "https://webofnothing.top/" </w:instrText>
          </w:r>
          <w:r>
            <w:rPr>
              <w:iCs/>
              <w:color w:val="0070C0"/>
              <w:sz w:val="18"/>
              <w:szCs w:val="18"/>
            </w:rPr>
            <w:fldChar w:fldCharType="separate"/>
          </w:r>
          <w:r>
            <w:rPr>
              <w:rFonts w:hint="eastAsia"/>
              <w:iCs/>
              <w:color w:val="0070C0"/>
              <w:sz w:val="18"/>
              <w:szCs w:val="18"/>
              <w:lang w:val="en-US" w:eastAsia="zh-CN"/>
            </w:rPr>
            <w:t>w</w:t>
          </w:r>
          <w:r>
            <w:rPr>
              <w:iCs/>
              <w:color w:val="0070C0"/>
              <w:sz w:val="18"/>
              <w:szCs w:val="18"/>
            </w:rPr>
            <w:t>ebof</w:t>
          </w:r>
          <w:r>
            <w:rPr>
              <w:rFonts w:hint="eastAsia"/>
              <w:iCs/>
              <w:color w:val="0070C0"/>
              <w:sz w:val="18"/>
              <w:szCs w:val="18"/>
              <w:lang w:val="en-US" w:eastAsia="zh-CN"/>
            </w:rPr>
            <w:t>n</w:t>
          </w:r>
          <w:r>
            <w:rPr>
              <w:iCs/>
              <w:color w:val="0070C0"/>
              <w:sz w:val="18"/>
              <w:szCs w:val="18"/>
            </w:rPr>
            <w:t>othing</w:t>
          </w:r>
          <w:r>
            <w:rPr>
              <w:iCs/>
              <w:color w:val="0070C0"/>
              <w:sz w:val="18"/>
              <w:szCs w:val="18"/>
            </w:rPr>
            <w:fldChar w:fldCharType="end"/>
          </w:r>
          <w:r>
            <w:rPr>
              <w:rFonts w:hint="eastAsia"/>
              <w:iCs/>
              <w:color w:val="0070C0"/>
              <w:sz w:val="18"/>
              <w:szCs w:val="18"/>
              <w:lang w:val="en-US" w:eastAsia="zh-CN"/>
            </w:rPr>
            <w:t>.top</w:t>
          </w:r>
        </w:p>
      </w:tc>
      <w:tc>
        <w:tcPr>
          <w:tcW w:w="1188" w:type="dxa"/>
          <w:vMerge w:val="continue"/>
          <w:shd w:val="pct10" w:color="F1F1F1" w:themeColor="background1" w:themeShade="F2" w:fill="auto"/>
          <w:vAlign w:val="center"/>
        </w:tcPr>
        <w:p w14:paraId="16C589CD">
          <w:pPr>
            <w:pStyle w:val="12"/>
            <w:pBdr>
              <w:bottom w:val="none" w:color="auto" w:sz="0" w:space="0"/>
            </w:pBdr>
            <w:tabs>
              <w:tab w:val="left" w:pos="6804"/>
            </w:tabs>
            <w:jc w:val="center"/>
            <w:rPr>
              <w:lang w:val="en-IN" w:eastAsia="en-IN"/>
            </w:rPr>
          </w:pPr>
        </w:p>
      </w:tc>
    </w:tr>
    <w:tr w14:paraId="07A765B1">
      <w:tblPrEx>
        <w:tblBorders>
          <w:top w:val="none" w:color="auto" w:sz="0" w:space="0"/>
          <w:left w:val="none" w:color="auto" w:sz="0" w:space="0"/>
          <w:bottom w:val="single" w:color="auto" w:sz="36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20" w:hRule="atLeast"/>
        <w:jc w:val="center"/>
      </w:trPr>
      <w:tc>
        <w:tcPr>
          <w:tcW w:w="1277" w:type="dxa"/>
          <w:vMerge w:val="continue"/>
          <w:tcBorders>
            <w:bottom w:val="single" w:color="auto" w:sz="36" w:space="0"/>
          </w:tcBorders>
          <w:shd w:val="pct10" w:color="F1F1F1" w:themeColor="background1" w:themeShade="F2" w:fill="auto"/>
        </w:tcPr>
        <w:p w14:paraId="0D4D0EB3">
          <w:pPr>
            <w:pStyle w:val="12"/>
            <w:pBdr>
              <w:bottom w:val="none" w:color="auto" w:sz="0" w:space="0"/>
            </w:pBdr>
            <w:tabs>
              <w:tab w:val="left" w:pos="6804"/>
            </w:tabs>
            <w:rPr>
              <w:lang w:val="en-IN" w:eastAsia="en-IN"/>
            </w:rPr>
          </w:pPr>
        </w:p>
      </w:tc>
      <w:tc>
        <w:tcPr>
          <w:tcW w:w="7458" w:type="dxa"/>
          <w:tcBorders>
            <w:bottom w:val="single" w:color="auto" w:sz="36" w:space="0"/>
          </w:tcBorders>
          <w:shd w:val="pct10" w:color="F1F1F1" w:themeColor="background1" w:themeShade="F2" w:fill="auto"/>
          <w:vAlign w:val="top"/>
        </w:tcPr>
        <w:p w14:paraId="6F811BE8">
          <w:pPr>
            <w:pBdr>
              <w:bottom w:val="none" w:color="auto" w:sz="0" w:space="0"/>
            </w:pBdr>
          </w:pPr>
        </w:p>
      </w:tc>
      <w:tc>
        <w:tcPr>
          <w:tcW w:w="1188" w:type="dxa"/>
          <w:vMerge w:val="continue"/>
          <w:tcBorders>
            <w:bottom w:val="single" w:color="auto" w:sz="36" w:space="0"/>
          </w:tcBorders>
          <w:shd w:val="pct10" w:color="F1F1F1" w:themeColor="background1" w:themeShade="F2" w:fill="auto"/>
          <w:vAlign w:val="center"/>
        </w:tcPr>
        <w:p w14:paraId="1BE8D3FA">
          <w:pPr>
            <w:pStyle w:val="12"/>
            <w:pBdr>
              <w:bottom w:val="none" w:color="auto" w:sz="0" w:space="0"/>
            </w:pBdr>
            <w:tabs>
              <w:tab w:val="left" w:pos="6804"/>
            </w:tabs>
            <w:jc w:val="center"/>
            <w:rPr>
              <w:lang w:val="en-IN" w:eastAsia="en-IN"/>
            </w:rPr>
          </w:pPr>
        </w:p>
      </w:tc>
    </w:tr>
  </w:tbl>
  <w:p w14:paraId="78C43EF5">
    <w:pPr>
      <w:pStyle w:val="12"/>
      <w:pBdr>
        <w:bottom w:val="none" w:color="auto" w:sz="0" w:space="0"/>
      </w:pBdr>
      <w:tabs>
        <w:tab w:val="left" w:pos="5785"/>
        <w:tab w:val="clear" w:pos="4706"/>
        <w:tab w:val="clear" w:pos="935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5377C28"/>
    <w:multiLevelType w:val="singleLevel"/>
    <w:tmpl w:val="D5377C28"/>
    <w:lvl w:ilvl="0" w:tentative="0">
      <w:start w:val="1"/>
      <w:numFmt w:val="decimal"/>
      <w:suff w:val="nothing"/>
      <w:lvlText w:val="（%1）"/>
      <w:lvlJc w:val="left"/>
      <w:rPr>
        <w:rFonts w:hint="default"/>
        <w:b w:val="0"/>
        <w:bCs w:val="0"/>
        <w:color w:val="auto"/>
      </w:rPr>
    </w:lvl>
  </w:abstractNum>
  <w:abstractNum w:abstractNumId="1">
    <w:nsid w:val="1A2E0393"/>
    <w:multiLevelType w:val="multilevel"/>
    <w:tmpl w:val="1A2E0393"/>
    <w:lvl w:ilvl="0" w:tentative="0">
      <w:start w:val="1"/>
      <w:numFmt w:val="bullet"/>
      <w:pStyle w:val="38"/>
      <w:lvlText w:val=""/>
      <w:lvlJc w:val="left"/>
      <w:pPr>
        <w:tabs>
          <w:tab w:val="left" w:pos="360"/>
        </w:tabs>
        <w:ind w:left="240" w:hanging="240"/>
      </w:pPr>
      <w:rPr>
        <w:rFonts w:hint="default" w:ascii="Symbol" w:hAnsi="Symbol"/>
      </w:rPr>
    </w:lvl>
    <w:lvl w:ilvl="1" w:tentative="0">
      <w:start w:val="1"/>
      <w:numFmt w:val="bullet"/>
      <w:lvlText w:val="○"/>
      <w:lvlJc w:val="left"/>
      <w:pPr>
        <w:tabs>
          <w:tab w:val="left" w:pos="600"/>
        </w:tabs>
        <w:ind w:left="480" w:hanging="240"/>
      </w:pPr>
      <w:rPr>
        <w:rFonts w:hint="default" w:ascii="Times New Roman" w:hAnsi="Times New Roman"/>
        <w:sz w:val="28"/>
      </w:rPr>
    </w:lvl>
    <w:lvl w:ilvl="2" w:tentative="0">
      <w:start w:val="1"/>
      <w:numFmt w:val="bullet"/>
      <w:lvlText w:val="–"/>
      <w:lvlJc w:val="left"/>
      <w:pPr>
        <w:tabs>
          <w:tab w:val="left" w:pos="840"/>
        </w:tabs>
        <w:ind w:left="720" w:hanging="240"/>
      </w:pPr>
      <w:rPr>
        <w:rFonts w:hint="default" w:ascii="Times New Roman" w:hAnsi="Times New Roman"/>
      </w:rPr>
    </w:lvl>
    <w:lvl w:ilvl="3" w:tentative="0">
      <w:start w:val="1"/>
      <w:numFmt w:val="none"/>
      <w:lvlText w:val="-"/>
      <w:lvlJc w:val="left"/>
      <w:pPr>
        <w:tabs>
          <w:tab w:val="left" w:pos="1080"/>
        </w:tabs>
        <w:ind w:left="960" w:hanging="240"/>
      </w:pPr>
      <w:rPr>
        <w:rFonts w:hint="default" w:ascii="Times New Roman" w:hAnsi="Times New Roman"/>
      </w:rPr>
    </w:lvl>
    <w:lvl w:ilvl="4" w:tentative="0">
      <w:start w:val="1"/>
      <w:numFmt w:val="none"/>
      <w:lvlText w:val="-"/>
      <w:lvlJc w:val="left"/>
      <w:pPr>
        <w:tabs>
          <w:tab w:val="left" w:pos="1320"/>
        </w:tabs>
        <w:ind w:left="1200" w:hanging="240"/>
      </w:pPr>
      <w:rPr>
        <w:rFonts w:hint="default" w:ascii="Times New Roman" w:hAnsi="Times New Roman"/>
      </w:rPr>
    </w:lvl>
    <w:lvl w:ilvl="5" w:tentative="0">
      <w:start w:val="1"/>
      <w:numFmt w:val="none"/>
      <w:lvlText w:val="-"/>
      <w:lvlJc w:val="left"/>
      <w:pPr>
        <w:tabs>
          <w:tab w:val="left" w:pos="1560"/>
        </w:tabs>
        <w:ind w:left="1440" w:hanging="240"/>
      </w:pPr>
      <w:rPr>
        <w:rFonts w:hint="default" w:ascii="Times New Roman" w:hAnsi="Times New Roman"/>
      </w:rPr>
    </w:lvl>
    <w:lvl w:ilvl="6" w:tentative="0">
      <w:start w:val="1"/>
      <w:numFmt w:val="none"/>
      <w:lvlText w:val="-"/>
      <w:lvlJc w:val="left"/>
      <w:pPr>
        <w:tabs>
          <w:tab w:val="left" w:pos="1800"/>
        </w:tabs>
        <w:ind w:left="1680" w:hanging="240"/>
      </w:pPr>
      <w:rPr>
        <w:rFonts w:hint="default" w:ascii="Times New Roman" w:hAnsi="Times New Roman"/>
      </w:rPr>
    </w:lvl>
    <w:lvl w:ilvl="7" w:tentative="0">
      <w:start w:val="1"/>
      <w:numFmt w:val="none"/>
      <w:lvlText w:val="-"/>
      <w:lvlJc w:val="left"/>
      <w:pPr>
        <w:tabs>
          <w:tab w:val="left" w:pos="2040"/>
        </w:tabs>
        <w:ind w:left="1920" w:hanging="240"/>
      </w:pPr>
      <w:rPr>
        <w:rFonts w:hint="default" w:ascii="Times New Roman" w:hAnsi="Times New Roman"/>
      </w:rPr>
    </w:lvl>
    <w:lvl w:ilvl="8" w:tentative="0">
      <w:start w:val="1"/>
      <w:numFmt w:val="none"/>
      <w:lvlText w:val="-"/>
      <w:lvlJc w:val="left"/>
      <w:pPr>
        <w:tabs>
          <w:tab w:val="left" w:pos="2280"/>
        </w:tabs>
        <w:ind w:left="2160" w:hanging="240"/>
      </w:pPr>
      <w:rPr>
        <w:rFonts w:hint="default" w:ascii="Times New Roman" w:hAnsi="Times New Roman"/>
      </w:rPr>
    </w:lvl>
  </w:abstractNum>
  <w:abstractNum w:abstractNumId="2">
    <w:nsid w:val="24E4B607"/>
    <w:multiLevelType w:val="singleLevel"/>
    <w:tmpl w:val="24E4B60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29322B9F"/>
    <w:multiLevelType w:val="multilevel"/>
    <w:tmpl w:val="29322B9F"/>
    <w:lvl w:ilvl="0" w:tentative="0">
      <w:start w:val="1"/>
      <w:numFmt w:val="upperLetter"/>
      <w:pStyle w:val="35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 w:tentative="0">
      <w:start w:val="1"/>
      <w:numFmt w:val="decimal"/>
      <w:suff w:val="nothing"/>
      <w:lvlText w:val="%1.%2. "/>
      <w:lvlJc w:val="left"/>
      <w:pPr>
        <w:ind w:left="0" w:firstLine="0"/>
      </w:pPr>
      <w:rPr>
        <w:rFonts w:hint="default" w:ascii="Times New Roman" w:hAnsi="Times New Roman"/>
        <w:b w:val="0"/>
        <w:i/>
        <w:sz w:val="20"/>
      </w:rPr>
    </w:lvl>
    <w:lvl w:ilvl="2" w:tentative="0">
      <w:start w:val="1"/>
      <w:numFmt w:val="none"/>
      <w:lvlText w:val=""/>
      <w:lvlJc w:val="left"/>
      <w:pPr>
        <w:tabs>
          <w:tab w:val="left" w:pos="360"/>
        </w:tabs>
        <w:ind w:left="0" w:firstLine="0"/>
      </w:pPr>
    </w:lvl>
    <w:lvl w:ilvl="3" w:tentative="0">
      <w:start w:val="1"/>
      <w:numFmt w:val="none"/>
      <w:lvlText w:val=""/>
      <w:lvlJc w:val="right"/>
      <w:pPr>
        <w:tabs>
          <w:tab w:val="left" w:pos="360"/>
        </w:tabs>
        <w:ind w:left="0" w:firstLine="0"/>
      </w:pPr>
    </w:lvl>
    <w:lvl w:ilvl="4" w:tentative="0">
      <w:start w:val="1"/>
      <w:numFmt w:val="none"/>
      <w:lvlText w:val=""/>
      <w:lvlJc w:val="left"/>
      <w:pPr>
        <w:tabs>
          <w:tab w:val="left" w:pos="360"/>
        </w:tabs>
        <w:ind w:left="0" w:firstLine="0"/>
      </w:pPr>
    </w:lvl>
    <w:lvl w:ilvl="5" w:tentative="0">
      <w:start w:val="1"/>
      <w:numFmt w:val="none"/>
      <w:lvlText w:val=""/>
      <w:lvlJc w:val="left"/>
      <w:pPr>
        <w:tabs>
          <w:tab w:val="left" w:pos="360"/>
        </w:tabs>
        <w:ind w:left="0" w:firstLine="0"/>
      </w:pPr>
    </w:lvl>
    <w:lvl w:ilvl="6" w:tentative="0">
      <w:start w:val="1"/>
      <w:numFmt w:val="none"/>
      <w:lvlText w:val=""/>
      <w:lvlJc w:val="left"/>
      <w:pPr>
        <w:tabs>
          <w:tab w:val="left" w:pos="360"/>
        </w:tabs>
        <w:ind w:left="0" w:firstLine="0"/>
      </w:pPr>
    </w:lvl>
    <w:lvl w:ilvl="7" w:tentative="0">
      <w:start w:val="1"/>
      <w:numFmt w:val="none"/>
      <w:lvlText w:val=""/>
      <w:lvlJc w:val="left"/>
      <w:pPr>
        <w:tabs>
          <w:tab w:val="left" w:pos="360"/>
        </w:tabs>
        <w:ind w:left="0" w:firstLine="0"/>
      </w:pPr>
    </w:lvl>
    <w:lvl w:ilvl="8" w:tentative="0">
      <w:start w:val="1"/>
      <w:numFmt w:val="none"/>
      <w:lvlText w:val=""/>
      <w:lvlJc w:val="left"/>
      <w:pPr>
        <w:tabs>
          <w:tab w:val="left" w:pos="360"/>
        </w:tabs>
        <w:ind w:left="0" w:firstLine="0"/>
      </w:pPr>
    </w:lvl>
  </w:abstractNum>
  <w:abstractNum w:abstractNumId="4">
    <w:nsid w:val="527E7170"/>
    <w:multiLevelType w:val="multilevel"/>
    <w:tmpl w:val="527E7170"/>
    <w:lvl w:ilvl="0" w:tentative="0">
      <w:start w:val="1"/>
      <w:numFmt w:val="decimal"/>
      <w:pStyle w:val="50"/>
      <w:lvlText w:val="%1."/>
      <w:lvlJc w:val="left"/>
      <w:pPr>
        <w:tabs>
          <w:tab w:val="left" w:pos="360"/>
        </w:tabs>
        <w:ind w:left="240" w:hanging="240"/>
      </w:pPr>
    </w:lvl>
    <w:lvl w:ilvl="1" w:tentative="0">
      <w:start w:val="1"/>
      <w:numFmt w:val="decimal"/>
      <w:lvlText w:val="%1.%2."/>
      <w:lvlJc w:val="left"/>
      <w:pPr>
        <w:tabs>
          <w:tab w:val="left" w:pos="600"/>
        </w:tabs>
        <w:ind w:left="480" w:hanging="240"/>
      </w:pPr>
    </w:lvl>
    <w:lvl w:ilvl="2" w:tentative="0">
      <w:start w:val="1"/>
      <w:numFmt w:val="decimal"/>
      <w:lvlText w:val="%1.%2.%3."/>
      <w:lvlJc w:val="left"/>
      <w:pPr>
        <w:tabs>
          <w:tab w:val="left" w:pos="840"/>
        </w:tabs>
        <w:ind w:left="720" w:hanging="240"/>
      </w:pPr>
    </w:lvl>
    <w:lvl w:ilvl="3" w:tentative="0">
      <w:start w:val="1"/>
      <w:numFmt w:val="decimal"/>
      <w:lvlText w:val="%1.%2.%3.%4."/>
      <w:lvlJc w:val="left"/>
      <w:pPr>
        <w:tabs>
          <w:tab w:val="left" w:pos="1080"/>
        </w:tabs>
        <w:ind w:left="960" w:hanging="240"/>
      </w:pPr>
    </w:lvl>
    <w:lvl w:ilvl="4" w:tentative="0">
      <w:start w:val="1"/>
      <w:numFmt w:val="decimal"/>
      <w:lvlText w:val="%1.%2.%3.%4.%5."/>
      <w:lvlJc w:val="left"/>
      <w:pPr>
        <w:tabs>
          <w:tab w:val="left" w:pos="1320"/>
        </w:tabs>
        <w:ind w:left="1200" w:hanging="240"/>
      </w:pPr>
    </w:lvl>
    <w:lvl w:ilvl="5" w:tentative="0">
      <w:start w:val="1"/>
      <w:numFmt w:val="decimal"/>
      <w:lvlText w:val="%1.%2.%3.%4.%5.%6."/>
      <w:lvlJc w:val="left"/>
      <w:pPr>
        <w:tabs>
          <w:tab w:val="left" w:pos="1560"/>
        </w:tabs>
        <w:ind w:left="1440" w:hanging="240"/>
      </w:pPr>
    </w:lvl>
    <w:lvl w:ilvl="6" w:tentative="0">
      <w:start w:val="1"/>
      <w:numFmt w:val="decimal"/>
      <w:lvlText w:val="%1.%2.%3.%4.%5.%6.%7."/>
      <w:lvlJc w:val="left"/>
      <w:pPr>
        <w:tabs>
          <w:tab w:val="left" w:pos="1800"/>
        </w:tabs>
        <w:ind w:left="1680" w:hanging="240"/>
      </w:pPr>
    </w:lvl>
    <w:lvl w:ilvl="7" w:tentative="0">
      <w:start w:val="1"/>
      <w:numFmt w:val="decimal"/>
      <w:lvlText w:val="%1.%2.%3.%4.%5.%6.%7.%8."/>
      <w:lvlJc w:val="left"/>
      <w:pPr>
        <w:tabs>
          <w:tab w:val="left" w:pos="2040"/>
        </w:tabs>
        <w:ind w:left="1920" w:hanging="240"/>
      </w:pPr>
    </w:lvl>
    <w:lvl w:ilvl="8" w:tentative="0">
      <w:start w:val="1"/>
      <w:numFmt w:val="decimal"/>
      <w:lvlText w:val="%1.%2.%3.%4.%5.%6.%7.%8.%9."/>
      <w:lvlJc w:val="left"/>
      <w:pPr>
        <w:tabs>
          <w:tab w:val="left" w:pos="2280"/>
        </w:tabs>
        <w:ind w:left="2160" w:hanging="240"/>
      </w:pPr>
    </w:lvl>
  </w:abstractNum>
  <w:abstractNum w:abstractNumId="5">
    <w:nsid w:val="56205803"/>
    <w:multiLevelType w:val="multilevel"/>
    <w:tmpl w:val="56205803"/>
    <w:lvl w:ilvl="0" w:tentative="0">
      <w:start w:val="1"/>
      <w:numFmt w:val="decimal"/>
      <w:pStyle w:val="25"/>
      <w:suff w:val="space"/>
      <w:lvlText w:val="%1."/>
      <w:lvlJc w:val="left"/>
      <w:pPr>
        <w:ind w:left="0" w:firstLine="0"/>
      </w:pPr>
    </w:lvl>
    <w:lvl w:ilvl="1" w:tentative="0">
      <w:start w:val="1"/>
      <w:numFmt w:val="decimal"/>
      <w:pStyle w:val="27"/>
      <w:suff w:val="space"/>
      <w:lvlText w:val="%1.%2."/>
      <w:lvlJc w:val="left"/>
      <w:pPr>
        <w:ind w:left="0" w:firstLine="0"/>
      </w:pPr>
    </w:lvl>
    <w:lvl w:ilvl="2" w:tentative="0">
      <w:start w:val="1"/>
      <w:numFmt w:val="decimal"/>
      <w:pStyle w:val="28"/>
      <w:suff w:val="space"/>
      <w:lvlText w:val="%1.%2.%3."/>
      <w:lvlJc w:val="left"/>
      <w:pPr>
        <w:ind w:left="0" w:firstLine="0"/>
      </w:pPr>
    </w:lvl>
    <w:lvl w:ilvl="3" w:tentative="0">
      <w:start w:val="1"/>
      <w:numFmt w:val="decimal"/>
      <w:pStyle w:val="29"/>
      <w:suff w:val="space"/>
      <w:lvlText w:val="%1.%2.%3.%4."/>
      <w:lvlJc w:val="left"/>
      <w:pPr>
        <w:ind w:left="0" w:firstLine="0"/>
      </w:pPr>
    </w:lvl>
    <w:lvl w:ilvl="4" w:tentative="0">
      <w:start w:val="1"/>
      <w:numFmt w:val="decimal"/>
      <w:suff w:val="space"/>
      <w:lvlText w:val="%1.%2.%3.%4.%5."/>
      <w:lvlJc w:val="left"/>
      <w:pPr>
        <w:ind w:left="0" w:firstLine="0"/>
      </w:pPr>
    </w:lvl>
    <w:lvl w:ilvl="5" w:tentative="0">
      <w:start w:val="1"/>
      <w:numFmt w:val="decimal"/>
      <w:suff w:val="space"/>
      <w:lvlText w:val="%1.%2.%3.%4.%5.%6."/>
      <w:lvlJc w:val="left"/>
      <w:pPr>
        <w:ind w:left="0" w:firstLine="0"/>
      </w:pPr>
    </w:lvl>
    <w:lvl w:ilvl="6" w:tentative="0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 w:tentative="0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 w:tentative="0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6">
    <w:nsid w:val="5E827A20"/>
    <w:multiLevelType w:val="multilevel"/>
    <w:tmpl w:val="5E827A20"/>
    <w:lvl w:ilvl="0" w:tentative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 w:tentative="0">
      <w:start w:val="1"/>
      <w:numFmt w:val="decimal"/>
      <w:pStyle w:val="36"/>
      <w:suff w:val="nothing"/>
      <w:lvlText w:val="%1.%2. "/>
      <w:lvlJc w:val="left"/>
      <w:pPr>
        <w:ind w:left="0" w:firstLine="0"/>
      </w:pPr>
      <w:rPr>
        <w:rFonts w:hint="default" w:ascii="Times New Roman" w:hAnsi="Times New Roman"/>
        <w:b w:val="0"/>
        <w:i/>
        <w:sz w:val="20"/>
      </w:rPr>
    </w:lvl>
    <w:lvl w:ilvl="2" w:tentative="0">
      <w:start w:val="1"/>
      <w:numFmt w:val="none"/>
      <w:lvlText w:val=""/>
      <w:lvlJc w:val="left"/>
      <w:pPr>
        <w:tabs>
          <w:tab w:val="left" w:pos="360"/>
        </w:tabs>
        <w:ind w:left="0" w:firstLine="0"/>
      </w:pPr>
    </w:lvl>
    <w:lvl w:ilvl="3" w:tentative="0">
      <w:start w:val="1"/>
      <w:numFmt w:val="none"/>
      <w:lvlText w:val=""/>
      <w:lvlJc w:val="right"/>
      <w:pPr>
        <w:tabs>
          <w:tab w:val="left" w:pos="360"/>
        </w:tabs>
        <w:ind w:left="0" w:firstLine="0"/>
      </w:pPr>
    </w:lvl>
    <w:lvl w:ilvl="4" w:tentative="0">
      <w:start w:val="1"/>
      <w:numFmt w:val="none"/>
      <w:lvlText w:val=""/>
      <w:lvlJc w:val="left"/>
      <w:pPr>
        <w:tabs>
          <w:tab w:val="left" w:pos="360"/>
        </w:tabs>
        <w:ind w:left="0" w:firstLine="0"/>
      </w:pPr>
    </w:lvl>
    <w:lvl w:ilvl="5" w:tentative="0">
      <w:start w:val="1"/>
      <w:numFmt w:val="none"/>
      <w:lvlText w:val=""/>
      <w:lvlJc w:val="left"/>
      <w:pPr>
        <w:tabs>
          <w:tab w:val="left" w:pos="360"/>
        </w:tabs>
        <w:ind w:left="0" w:firstLine="0"/>
      </w:pPr>
    </w:lvl>
    <w:lvl w:ilvl="6" w:tentative="0">
      <w:start w:val="1"/>
      <w:numFmt w:val="none"/>
      <w:lvlText w:val=""/>
      <w:lvlJc w:val="left"/>
      <w:pPr>
        <w:tabs>
          <w:tab w:val="left" w:pos="360"/>
        </w:tabs>
        <w:ind w:left="0" w:firstLine="0"/>
      </w:pPr>
    </w:lvl>
    <w:lvl w:ilvl="7" w:tentative="0">
      <w:start w:val="1"/>
      <w:numFmt w:val="none"/>
      <w:lvlText w:val=""/>
      <w:lvlJc w:val="left"/>
      <w:pPr>
        <w:tabs>
          <w:tab w:val="left" w:pos="360"/>
        </w:tabs>
        <w:ind w:left="0" w:firstLine="0"/>
      </w:pPr>
    </w:lvl>
    <w:lvl w:ilvl="8" w:tentative="0">
      <w:start w:val="1"/>
      <w:numFmt w:val="none"/>
      <w:lvlText w:val=""/>
      <w:lvlJc w:val="left"/>
      <w:pPr>
        <w:tabs>
          <w:tab w:val="left" w:pos="360"/>
        </w:tabs>
        <w:ind w:left="0" w:firstLine="0"/>
      </w:pPr>
    </w:lvl>
  </w:abstractNum>
  <w:abstractNum w:abstractNumId="7">
    <w:nsid w:val="744C573B"/>
    <w:multiLevelType w:val="singleLevel"/>
    <w:tmpl w:val="744C573B"/>
    <w:lvl w:ilvl="0" w:tentative="0">
      <w:start w:val="1"/>
      <w:numFmt w:val="decimal"/>
      <w:suff w:val="space"/>
      <w:lvlText w:val="[%1]"/>
      <w:lvlJc w:val="left"/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"/>
  </w:num>
  <w:num w:numId="5">
    <w:abstractNumId w:val="4"/>
  </w:num>
  <w:num w:numId="6">
    <w:abstractNumId w:val="2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printPostScriptOverText/>
  <w:embedTrueTypeFonts/>
  <w:mirrorMargins w:val="1"/>
  <w:bordersDoNotSurroundHeader w:val="0"/>
  <w:bordersDoNotSurroundFooter w:val="0"/>
  <w:attachedTemplate r:id="rId1"/>
  <w:documentProtection w:enforcement="0"/>
  <w:defaultTabStop w:val="720"/>
  <w:evenAndOddHeaders w:val="1"/>
  <w:drawingGridHorizontalSpacing w:val="120"/>
  <w:drawingGridVerticalSpacing w:val="120"/>
  <w:displayHorizontalDrawingGridEvery w:val="1"/>
  <w:displayVerticalDrawingGridEvery w:val="1"/>
  <w:noPunctuationKerning w:val="1"/>
  <w:characterSpacingControl w:val="doNotCompress"/>
  <w:footnotePr>
    <w:numFmt w:val="chicago"/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409"/>
    <w:rsid w:val="00011B4B"/>
    <w:rsid w:val="00011C98"/>
    <w:rsid w:val="00017B85"/>
    <w:rsid w:val="0002766B"/>
    <w:rsid w:val="00033F04"/>
    <w:rsid w:val="00056920"/>
    <w:rsid w:val="00067E37"/>
    <w:rsid w:val="00072AAA"/>
    <w:rsid w:val="000B137C"/>
    <w:rsid w:val="000B5E84"/>
    <w:rsid w:val="000C1409"/>
    <w:rsid w:val="000C3885"/>
    <w:rsid w:val="000D07A1"/>
    <w:rsid w:val="000D395C"/>
    <w:rsid w:val="000E1EF3"/>
    <w:rsid w:val="000E212B"/>
    <w:rsid w:val="0011024F"/>
    <w:rsid w:val="00117A48"/>
    <w:rsid w:val="00117E53"/>
    <w:rsid w:val="00136D96"/>
    <w:rsid w:val="001446AE"/>
    <w:rsid w:val="00163A94"/>
    <w:rsid w:val="0016771D"/>
    <w:rsid w:val="0017199C"/>
    <w:rsid w:val="0017435C"/>
    <w:rsid w:val="00186B43"/>
    <w:rsid w:val="001B6E7B"/>
    <w:rsid w:val="001C5606"/>
    <w:rsid w:val="001C578C"/>
    <w:rsid w:val="001E4CDB"/>
    <w:rsid w:val="001F168C"/>
    <w:rsid w:val="001F49A0"/>
    <w:rsid w:val="00205238"/>
    <w:rsid w:val="00214700"/>
    <w:rsid w:val="00224644"/>
    <w:rsid w:val="002302A1"/>
    <w:rsid w:val="00234053"/>
    <w:rsid w:val="0023666F"/>
    <w:rsid w:val="002610C9"/>
    <w:rsid w:val="00261CAB"/>
    <w:rsid w:val="0026239E"/>
    <w:rsid w:val="00284AD4"/>
    <w:rsid w:val="002E206D"/>
    <w:rsid w:val="002E75D5"/>
    <w:rsid w:val="0031626B"/>
    <w:rsid w:val="003312B7"/>
    <w:rsid w:val="003353FE"/>
    <w:rsid w:val="003400D6"/>
    <w:rsid w:val="00341FD7"/>
    <w:rsid w:val="003560E1"/>
    <w:rsid w:val="00357015"/>
    <w:rsid w:val="00362B0B"/>
    <w:rsid w:val="003806A4"/>
    <w:rsid w:val="003F59E7"/>
    <w:rsid w:val="003F5A73"/>
    <w:rsid w:val="004007A1"/>
    <w:rsid w:val="00422082"/>
    <w:rsid w:val="00443668"/>
    <w:rsid w:val="00451CEA"/>
    <w:rsid w:val="00482DF5"/>
    <w:rsid w:val="004A179E"/>
    <w:rsid w:val="004A52CA"/>
    <w:rsid w:val="004C3ED5"/>
    <w:rsid w:val="004D0EDB"/>
    <w:rsid w:val="00502197"/>
    <w:rsid w:val="00504D72"/>
    <w:rsid w:val="005106FB"/>
    <w:rsid w:val="00510F73"/>
    <w:rsid w:val="00522F40"/>
    <w:rsid w:val="005250D2"/>
    <w:rsid w:val="00542565"/>
    <w:rsid w:val="0056302F"/>
    <w:rsid w:val="0059035D"/>
    <w:rsid w:val="005968EA"/>
    <w:rsid w:val="005B1F08"/>
    <w:rsid w:val="005B73E7"/>
    <w:rsid w:val="005E7CE3"/>
    <w:rsid w:val="00621A00"/>
    <w:rsid w:val="00630286"/>
    <w:rsid w:val="00632723"/>
    <w:rsid w:val="00635C68"/>
    <w:rsid w:val="0066392D"/>
    <w:rsid w:val="00665852"/>
    <w:rsid w:val="00696237"/>
    <w:rsid w:val="006976F5"/>
    <w:rsid w:val="006A63E8"/>
    <w:rsid w:val="006D2E27"/>
    <w:rsid w:val="006E1DAF"/>
    <w:rsid w:val="007145B3"/>
    <w:rsid w:val="00723227"/>
    <w:rsid w:val="0072368E"/>
    <w:rsid w:val="007333E5"/>
    <w:rsid w:val="00737A1B"/>
    <w:rsid w:val="00754B28"/>
    <w:rsid w:val="00757D4F"/>
    <w:rsid w:val="007707D5"/>
    <w:rsid w:val="00783D5B"/>
    <w:rsid w:val="00785615"/>
    <w:rsid w:val="007925ED"/>
    <w:rsid w:val="007B4855"/>
    <w:rsid w:val="007D43FA"/>
    <w:rsid w:val="007D56DF"/>
    <w:rsid w:val="007E4D5D"/>
    <w:rsid w:val="00816027"/>
    <w:rsid w:val="0082300C"/>
    <w:rsid w:val="008361BF"/>
    <w:rsid w:val="00840E5D"/>
    <w:rsid w:val="008810F0"/>
    <w:rsid w:val="008919E4"/>
    <w:rsid w:val="008A0BC7"/>
    <w:rsid w:val="008B4882"/>
    <w:rsid w:val="008C36A9"/>
    <w:rsid w:val="008D19C0"/>
    <w:rsid w:val="008F52A6"/>
    <w:rsid w:val="008F6676"/>
    <w:rsid w:val="00902534"/>
    <w:rsid w:val="00913271"/>
    <w:rsid w:val="00914A57"/>
    <w:rsid w:val="0091660E"/>
    <w:rsid w:val="00925A11"/>
    <w:rsid w:val="00927DCF"/>
    <w:rsid w:val="0097605A"/>
    <w:rsid w:val="009A6D87"/>
    <w:rsid w:val="009B7CF7"/>
    <w:rsid w:val="009C6F37"/>
    <w:rsid w:val="009D5D17"/>
    <w:rsid w:val="009D6A20"/>
    <w:rsid w:val="009D747E"/>
    <w:rsid w:val="009E0B4E"/>
    <w:rsid w:val="009E58BD"/>
    <w:rsid w:val="00A00E8C"/>
    <w:rsid w:val="00A07F78"/>
    <w:rsid w:val="00A236AB"/>
    <w:rsid w:val="00A32103"/>
    <w:rsid w:val="00A36009"/>
    <w:rsid w:val="00A418F7"/>
    <w:rsid w:val="00A512A8"/>
    <w:rsid w:val="00A604AF"/>
    <w:rsid w:val="00A6350D"/>
    <w:rsid w:val="00AA0570"/>
    <w:rsid w:val="00AD6F25"/>
    <w:rsid w:val="00AF1CB5"/>
    <w:rsid w:val="00B12D20"/>
    <w:rsid w:val="00B15DC5"/>
    <w:rsid w:val="00B21746"/>
    <w:rsid w:val="00B24218"/>
    <w:rsid w:val="00B2481F"/>
    <w:rsid w:val="00B51B15"/>
    <w:rsid w:val="00B734D9"/>
    <w:rsid w:val="00BB03D0"/>
    <w:rsid w:val="00BD43D2"/>
    <w:rsid w:val="00C078F6"/>
    <w:rsid w:val="00C76F3E"/>
    <w:rsid w:val="00C82B1F"/>
    <w:rsid w:val="00CB50D1"/>
    <w:rsid w:val="00CD1499"/>
    <w:rsid w:val="00CE666F"/>
    <w:rsid w:val="00D26D32"/>
    <w:rsid w:val="00D36C9D"/>
    <w:rsid w:val="00D709CB"/>
    <w:rsid w:val="00D74151"/>
    <w:rsid w:val="00D76010"/>
    <w:rsid w:val="00D80400"/>
    <w:rsid w:val="00D859FA"/>
    <w:rsid w:val="00DA67DA"/>
    <w:rsid w:val="00DB53FA"/>
    <w:rsid w:val="00DC3EC2"/>
    <w:rsid w:val="00DD4DA1"/>
    <w:rsid w:val="00DD74B4"/>
    <w:rsid w:val="00DF3F68"/>
    <w:rsid w:val="00DF749C"/>
    <w:rsid w:val="00E20E3D"/>
    <w:rsid w:val="00E4473D"/>
    <w:rsid w:val="00E45CE0"/>
    <w:rsid w:val="00E46901"/>
    <w:rsid w:val="00E46DA6"/>
    <w:rsid w:val="00E63611"/>
    <w:rsid w:val="00E94444"/>
    <w:rsid w:val="00E96151"/>
    <w:rsid w:val="00EA50B1"/>
    <w:rsid w:val="00EB0CF3"/>
    <w:rsid w:val="00EB5F86"/>
    <w:rsid w:val="00EC6FDC"/>
    <w:rsid w:val="00ED11E9"/>
    <w:rsid w:val="00EE5FA6"/>
    <w:rsid w:val="00EE729D"/>
    <w:rsid w:val="00F01DE8"/>
    <w:rsid w:val="00F05F2A"/>
    <w:rsid w:val="00F1115C"/>
    <w:rsid w:val="00F13616"/>
    <w:rsid w:val="00F17629"/>
    <w:rsid w:val="00F27D84"/>
    <w:rsid w:val="00F37BB7"/>
    <w:rsid w:val="00F41166"/>
    <w:rsid w:val="00F41EBF"/>
    <w:rsid w:val="00F61D71"/>
    <w:rsid w:val="00F65830"/>
    <w:rsid w:val="00F725C1"/>
    <w:rsid w:val="00F81637"/>
    <w:rsid w:val="00F83C02"/>
    <w:rsid w:val="00FA77FB"/>
    <w:rsid w:val="00FB6526"/>
    <w:rsid w:val="00FF6672"/>
    <w:rsid w:val="08F16A89"/>
    <w:rsid w:val="09AF207D"/>
    <w:rsid w:val="0ADD6AE9"/>
    <w:rsid w:val="11921198"/>
    <w:rsid w:val="1BBA416D"/>
    <w:rsid w:val="1F7E66BB"/>
    <w:rsid w:val="223F04E2"/>
    <w:rsid w:val="22521F54"/>
    <w:rsid w:val="22E449E3"/>
    <w:rsid w:val="22F37787"/>
    <w:rsid w:val="270B389E"/>
    <w:rsid w:val="295A01F2"/>
    <w:rsid w:val="34B6528B"/>
    <w:rsid w:val="3E7B664A"/>
    <w:rsid w:val="444E3BD0"/>
    <w:rsid w:val="44F56376"/>
    <w:rsid w:val="4577303D"/>
    <w:rsid w:val="4DCC40A8"/>
    <w:rsid w:val="508A371F"/>
    <w:rsid w:val="56B75990"/>
    <w:rsid w:val="57D6528C"/>
    <w:rsid w:val="5812367F"/>
    <w:rsid w:val="58987422"/>
    <w:rsid w:val="5B5002AF"/>
    <w:rsid w:val="753166A6"/>
    <w:rsid w:val="774921DC"/>
    <w:rsid w:val="780A4938"/>
    <w:rsid w:val="7A790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name="footnote text"/>
    <w:lsdException w:qFormat="1"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0" w:name="footnote reference"/>
    <w:lsdException w:qFormat="1" w:uiPriority="0" w:name="annotation reference"/>
    <w:lsdException w:uiPriority="99" w:name="line number"/>
    <w:lsdException w:qFormat="1" w:unhideWhenUsed="0" w:uiPriority="0" w:name="page number"/>
    <w:lsdException w:qFormat="1" w:unhideWhenUsed="0" w:uiPriority="0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name="Body Text Indent 2"/>
    <w:lsdException w:qFormat="1" w:unhideWhenUsed="0" w:uiPriority="0" w:name="Body Text Indent 3"/>
    <w:lsdException w:uiPriority="99" w:name="Block Text"/>
    <w:lsdException w:qFormat="1" w:unhideWhenUsed="0" w:uiPriority="0" w:name="Hyperlink"/>
    <w:lsdException w:qFormat="1" w:unhideWhenUsed="0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30" w:lineRule="exact"/>
    </w:pPr>
    <w:rPr>
      <w:rFonts w:ascii="Times New Roman" w:hAnsi="Times New Roman" w:eastAsia="宋体" w:cs="Times New Roman"/>
      <w:sz w:val="16"/>
      <w:lang w:val="en-GB" w:eastAsia="en-US" w:bidi="ar-SA"/>
    </w:rPr>
  </w:style>
  <w:style w:type="paragraph" w:styleId="2">
    <w:name w:val="heading 1"/>
    <w:basedOn w:val="1"/>
    <w:next w:val="1"/>
    <w:qFormat/>
    <w:uiPriority w:val="0"/>
    <w:pPr>
      <w:keepNext/>
      <w:pBdr>
        <w:top w:val="single" w:color="auto" w:sz="4" w:space="1"/>
        <w:left w:val="single" w:color="auto" w:sz="4" w:space="0"/>
        <w:bottom w:val="single" w:color="auto" w:sz="4" w:space="7"/>
        <w:right w:val="single" w:color="auto" w:sz="4" w:space="4"/>
      </w:pBdr>
      <w:outlineLvl w:val="0"/>
    </w:pPr>
    <w:rPr>
      <w:b/>
      <w:bCs/>
    </w:rPr>
  </w:style>
  <w:style w:type="paragraph" w:styleId="3">
    <w:name w:val="heading 3"/>
    <w:basedOn w:val="1"/>
    <w:next w:val="1"/>
    <w:autoRedefine/>
    <w:qFormat/>
    <w:uiPriority w:val="0"/>
    <w:pPr>
      <w:keepNext/>
      <w:pBdr>
        <w:top w:val="single" w:color="auto" w:sz="4" w:space="1"/>
        <w:left w:val="single" w:color="auto" w:sz="4" w:space="4"/>
        <w:right w:val="single" w:color="auto" w:sz="4" w:space="4"/>
      </w:pBdr>
      <w:ind w:right="113"/>
      <w:outlineLvl w:val="2"/>
    </w:pPr>
    <w:rPr>
      <w:b/>
      <w:bCs/>
      <w:szCs w:val="24"/>
    </w:rPr>
  </w:style>
  <w:style w:type="paragraph" w:styleId="4">
    <w:name w:val="heading 4"/>
    <w:basedOn w:val="1"/>
    <w:next w:val="1"/>
    <w:qFormat/>
    <w:uiPriority w:val="0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qFormat/>
    <w:uiPriority w:val="0"/>
    <w:pPr>
      <w:keepLines/>
      <w:spacing w:before="200" w:after="240" w:line="200" w:lineRule="exact"/>
    </w:pPr>
  </w:style>
  <w:style w:type="paragraph" w:styleId="6">
    <w:name w:val="annotation text"/>
    <w:basedOn w:val="1"/>
    <w:semiHidden/>
    <w:unhideWhenUsed/>
    <w:qFormat/>
    <w:uiPriority w:val="0"/>
  </w:style>
  <w:style w:type="paragraph" w:styleId="7">
    <w:name w:val="Body Text Indent"/>
    <w:basedOn w:val="1"/>
    <w:semiHidden/>
    <w:qFormat/>
    <w:uiPriority w:val="0"/>
    <w:pPr>
      <w:widowControl/>
      <w:suppressAutoHyphens/>
      <w:ind w:firstLine="360"/>
      <w:jc w:val="both"/>
    </w:pPr>
    <w:rPr>
      <w:rFonts w:eastAsia="Times New Roman"/>
      <w:kern w:val="14"/>
      <w:lang w:val="en-US"/>
    </w:rPr>
  </w:style>
  <w:style w:type="paragraph" w:styleId="8">
    <w:name w:val="Plain Text"/>
    <w:basedOn w:val="1"/>
    <w:semiHidden/>
    <w:qFormat/>
    <w:uiPriority w:val="0"/>
    <w:rPr>
      <w:rFonts w:ascii="Courier New" w:hAnsi="Courier New" w:cs="Courier New"/>
      <w:lang w:val="en-US"/>
    </w:rPr>
  </w:style>
  <w:style w:type="paragraph" w:styleId="9">
    <w:name w:val="Body Text Indent 2"/>
    <w:basedOn w:val="1"/>
    <w:semiHidden/>
    <w:qFormat/>
    <w:uiPriority w:val="0"/>
    <w:pPr>
      <w:ind w:firstLine="240"/>
    </w:pPr>
  </w:style>
  <w:style w:type="paragraph" w:styleId="10">
    <w:name w:val="Balloon Text"/>
    <w:basedOn w:val="1"/>
    <w:qFormat/>
    <w:uiPriority w:val="0"/>
    <w:rPr>
      <w:rFonts w:ascii="Tahoma" w:hAnsi="Tahoma" w:cs="Tahoma"/>
      <w:szCs w:val="16"/>
    </w:rPr>
  </w:style>
  <w:style w:type="paragraph" w:styleId="11">
    <w:name w:val="footer"/>
    <w:basedOn w:val="12"/>
    <w:link w:val="73"/>
    <w:qFormat/>
    <w:uiPriority w:val="99"/>
    <w:pPr>
      <w:tabs>
        <w:tab w:val="center" w:pos="4706"/>
        <w:tab w:val="right" w:pos="9356"/>
        <w:tab w:val="right" w:pos="10080"/>
      </w:tabs>
      <w:spacing w:before="240" w:after="0" w:line="200" w:lineRule="exact"/>
    </w:pPr>
    <w:rPr>
      <w:i/>
    </w:rPr>
  </w:style>
  <w:style w:type="paragraph" w:styleId="12">
    <w:name w:val="header"/>
    <w:link w:val="67"/>
    <w:qFormat/>
    <w:uiPriority w:val="0"/>
    <w:pPr>
      <w:tabs>
        <w:tab w:val="center" w:pos="4706"/>
        <w:tab w:val="right" w:pos="9356"/>
      </w:tabs>
      <w:spacing w:after="80" w:line="200" w:lineRule="atLeast"/>
    </w:pPr>
    <w:rPr>
      <w:rFonts w:ascii="Times New Roman" w:hAnsi="Times New Roman" w:eastAsia="宋体" w:cs="Times New Roman"/>
      <w:sz w:val="14"/>
      <w:lang w:val="en-US" w:eastAsia="en-US" w:bidi="ar-SA"/>
    </w:rPr>
  </w:style>
  <w:style w:type="paragraph" w:styleId="13">
    <w:name w:val="footnote text"/>
    <w:basedOn w:val="1"/>
    <w:semiHidden/>
    <w:qFormat/>
    <w:uiPriority w:val="0"/>
    <w:rPr>
      <w:rFonts w:ascii="Univers" w:hAnsi="Univers"/>
    </w:rPr>
  </w:style>
  <w:style w:type="paragraph" w:styleId="14">
    <w:name w:val="Body Text Indent 3"/>
    <w:basedOn w:val="1"/>
    <w:semiHidden/>
    <w:qFormat/>
    <w:uiPriority w:val="0"/>
    <w:pPr>
      <w:spacing w:after="120"/>
      <w:ind w:left="360"/>
    </w:pPr>
    <w:rPr>
      <w:szCs w:val="16"/>
    </w:rPr>
  </w:style>
  <w:style w:type="paragraph" w:styleId="15">
    <w:name w:val="annotation subject"/>
    <w:basedOn w:val="6"/>
    <w:next w:val="6"/>
    <w:semiHidden/>
    <w:unhideWhenUsed/>
    <w:qFormat/>
    <w:uiPriority w:val="0"/>
    <w:rPr>
      <w:b/>
      <w:bCs/>
    </w:rPr>
  </w:style>
  <w:style w:type="table" w:styleId="17">
    <w:name w:val="Table Grid"/>
    <w:basedOn w:val="1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endnote reference"/>
    <w:semiHidden/>
    <w:qFormat/>
    <w:uiPriority w:val="0"/>
    <w:rPr>
      <w:vertAlign w:val="superscript"/>
    </w:rPr>
  </w:style>
  <w:style w:type="character" w:styleId="20">
    <w:name w:val="page number"/>
    <w:semiHidden/>
    <w:qFormat/>
    <w:uiPriority w:val="0"/>
    <w:rPr>
      <w:sz w:val="16"/>
    </w:rPr>
  </w:style>
  <w:style w:type="character" w:styleId="21">
    <w:name w:val="FollowedHyperlink"/>
    <w:semiHidden/>
    <w:qFormat/>
    <w:uiPriority w:val="0"/>
    <w:rPr>
      <w:color w:val="800080"/>
      <w:u w:val="single"/>
    </w:rPr>
  </w:style>
  <w:style w:type="character" w:styleId="22">
    <w:name w:val="Hyperlink"/>
    <w:semiHidden/>
    <w:qFormat/>
    <w:uiPriority w:val="0"/>
    <w:rPr>
      <w:color w:val="auto"/>
      <w:sz w:val="16"/>
      <w:u w:val="none"/>
    </w:rPr>
  </w:style>
  <w:style w:type="character" w:styleId="23">
    <w:name w:val="annotation reference"/>
    <w:semiHidden/>
    <w:unhideWhenUsed/>
    <w:qFormat/>
    <w:uiPriority w:val="0"/>
    <w:rPr>
      <w:sz w:val="16"/>
      <w:szCs w:val="16"/>
    </w:rPr>
  </w:style>
  <w:style w:type="character" w:styleId="24">
    <w:name w:val="footnote reference"/>
    <w:semiHidden/>
    <w:qFormat/>
    <w:uiPriority w:val="0"/>
    <w:rPr>
      <w:vertAlign w:val="superscript"/>
    </w:rPr>
  </w:style>
  <w:style w:type="paragraph" w:customStyle="1" w:styleId="25">
    <w:name w:val="Els-1storder-head"/>
    <w:next w:val="26"/>
    <w:qFormat/>
    <w:uiPriority w:val="0"/>
    <w:pPr>
      <w:keepNext/>
      <w:numPr>
        <w:ilvl w:val="0"/>
        <w:numId w:val="1"/>
      </w:numPr>
      <w:pBdr>
        <w:top w:val="single" w:color="23802A" w:sz="18" w:space="1"/>
        <w:left w:val="none" w:color="auto" w:sz="0" w:space="4"/>
        <w:bottom w:val="none" w:color="auto" w:sz="0" w:space="1"/>
        <w:right w:val="none" w:color="auto" w:sz="0" w:space="4"/>
      </w:pBdr>
      <w:suppressAutoHyphens/>
      <w:spacing w:before="350" w:after="230" w:line="230" w:lineRule="exact"/>
    </w:pPr>
    <w:rPr>
      <w:rFonts w:ascii="Times New Roman" w:hAnsi="Times New Roman" w:eastAsia="宋体" w:cs="Times New Roman"/>
      <w:b/>
      <w:sz w:val="19"/>
      <w:lang w:val="en-US" w:eastAsia="en-US" w:bidi="ar-SA"/>
    </w:rPr>
  </w:style>
  <w:style w:type="paragraph" w:customStyle="1" w:styleId="26">
    <w:name w:val="Els-body-text"/>
    <w:qFormat/>
    <w:uiPriority w:val="0"/>
    <w:pPr>
      <w:spacing w:line="230" w:lineRule="exact"/>
      <w:ind w:firstLine="238"/>
      <w:jc w:val="both"/>
    </w:pPr>
    <w:rPr>
      <w:rFonts w:ascii="Times New Roman" w:hAnsi="Times New Roman" w:eastAsia="宋体" w:cs="Times New Roman"/>
      <w:sz w:val="16"/>
      <w:lang w:val="en-US" w:eastAsia="en-US" w:bidi="ar-SA"/>
    </w:rPr>
  </w:style>
  <w:style w:type="paragraph" w:customStyle="1" w:styleId="27">
    <w:name w:val="Els-2ndorder-head"/>
    <w:next w:val="26"/>
    <w:uiPriority w:val="0"/>
    <w:pPr>
      <w:keepNext/>
      <w:numPr>
        <w:ilvl w:val="1"/>
        <w:numId w:val="1"/>
      </w:numPr>
      <w:suppressAutoHyphens/>
      <w:spacing w:before="230" w:after="230" w:line="230" w:lineRule="exact"/>
    </w:pPr>
    <w:rPr>
      <w:rFonts w:ascii="Times New Roman" w:hAnsi="Times New Roman" w:eastAsia="宋体" w:cs="Times New Roman"/>
      <w:b/>
      <w:i/>
      <w:sz w:val="17"/>
      <w:lang w:val="en-US" w:eastAsia="en-US" w:bidi="ar-SA"/>
    </w:rPr>
  </w:style>
  <w:style w:type="paragraph" w:customStyle="1" w:styleId="28">
    <w:name w:val="Els-3rdorder-head"/>
    <w:next w:val="26"/>
    <w:qFormat/>
    <w:uiPriority w:val="0"/>
    <w:pPr>
      <w:keepNext/>
      <w:numPr>
        <w:ilvl w:val="2"/>
        <w:numId w:val="1"/>
      </w:numPr>
      <w:suppressAutoHyphens/>
      <w:spacing w:before="240" w:line="240" w:lineRule="exact"/>
    </w:pPr>
    <w:rPr>
      <w:rFonts w:ascii="Times New Roman" w:hAnsi="Times New Roman" w:eastAsia="宋体" w:cs="Times New Roman"/>
      <w:i/>
      <w:lang w:val="en-US" w:eastAsia="en-US" w:bidi="ar-SA"/>
    </w:rPr>
  </w:style>
  <w:style w:type="paragraph" w:customStyle="1" w:styleId="29">
    <w:name w:val="Els-4thorder-head"/>
    <w:next w:val="26"/>
    <w:qFormat/>
    <w:uiPriority w:val="0"/>
    <w:pPr>
      <w:keepNext/>
      <w:numPr>
        <w:ilvl w:val="3"/>
        <w:numId w:val="1"/>
      </w:numPr>
      <w:suppressAutoHyphens/>
      <w:spacing w:before="240" w:line="240" w:lineRule="exact"/>
    </w:pPr>
    <w:rPr>
      <w:rFonts w:ascii="Times New Roman" w:hAnsi="Times New Roman" w:eastAsia="宋体" w:cs="Times New Roman"/>
      <w:i/>
      <w:lang w:val="en-US" w:eastAsia="en-US" w:bidi="ar-SA"/>
    </w:rPr>
  </w:style>
  <w:style w:type="paragraph" w:customStyle="1" w:styleId="30">
    <w:name w:val="Els-Abstract-head"/>
    <w:next w:val="1"/>
    <w:qFormat/>
    <w:uiPriority w:val="0"/>
    <w:pPr>
      <w:keepNext/>
      <w:suppressAutoHyphens/>
      <w:spacing w:before="440" w:after="200"/>
    </w:pPr>
    <w:rPr>
      <w:rFonts w:ascii="Times New Roman" w:hAnsi="Times New Roman" w:eastAsia="宋体" w:cs="Times New Roman"/>
      <w:b/>
      <w:sz w:val="18"/>
      <w:lang w:val="en-US" w:eastAsia="en-US" w:bidi="ar-SA"/>
    </w:rPr>
  </w:style>
  <w:style w:type="paragraph" w:customStyle="1" w:styleId="31">
    <w:name w:val="Els-Abstract-text"/>
    <w:next w:val="1"/>
    <w:qFormat/>
    <w:uiPriority w:val="0"/>
    <w:pPr>
      <w:pBdr>
        <w:top w:val="single" w:color="auto" w:sz="4" w:space="1"/>
      </w:pBdr>
      <w:spacing w:before="200" w:line="220" w:lineRule="exact"/>
      <w:jc w:val="both"/>
    </w:pPr>
    <w:rPr>
      <w:rFonts w:ascii="Times New Roman" w:hAnsi="Times New Roman" w:eastAsia="宋体" w:cs="Times New Roman"/>
      <w:sz w:val="15"/>
      <w:lang w:val="en-US" w:eastAsia="en-US" w:bidi="ar-SA"/>
    </w:rPr>
  </w:style>
  <w:style w:type="paragraph" w:customStyle="1" w:styleId="32">
    <w:name w:val="Els-acknowledgement"/>
    <w:next w:val="1"/>
    <w:qFormat/>
    <w:uiPriority w:val="0"/>
    <w:pPr>
      <w:keepNext/>
      <w:spacing w:before="230" w:after="230" w:line="230" w:lineRule="exact"/>
    </w:pPr>
    <w:rPr>
      <w:rFonts w:ascii="Times New Roman" w:hAnsi="Times New Roman" w:eastAsia="宋体" w:cs="Times New Roman"/>
      <w:b/>
      <w:sz w:val="19"/>
      <w:lang w:val="en-US" w:eastAsia="en-US" w:bidi="ar-SA"/>
    </w:rPr>
  </w:style>
  <w:style w:type="paragraph" w:customStyle="1" w:styleId="33">
    <w:name w:val="Els-aditional-article-history"/>
    <w:basedOn w:val="1"/>
    <w:qFormat/>
    <w:uiPriority w:val="0"/>
    <w:pPr>
      <w:spacing w:after="400" w:line="200" w:lineRule="exact"/>
      <w:jc w:val="center"/>
    </w:pPr>
    <w:rPr>
      <w:b/>
      <w:lang w:val="en-US"/>
    </w:rPr>
  </w:style>
  <w:style w:type="paragraph" w:customStyle="1" w:styleId="34">
    <w:name w:val="Els-Affiliation"/>
    <w:next w:val="30"/>
    <w:autoRedefine/>
    <w:qFormat/>
    <w:uiPriority w:val="0"/>
    <w:pPr>
      <w:pBdr>
        <w:bottom w:val="single" w:color="auto" w:sz="2" w:space="1"/>
      </w:pBdr>
      <w:suppressAutoHyphens/>
      <w:spacing w:line="230" w:lineRule="exact"/>
    </w:pPr>
    <w:rPr>
      <w:rFonts w:ascii="Times New Roman" w:hAnsi="Times New Roman" w:eastAsia="宋体" w:cs="Times New Roman"/>
      <w:i/>
      <w:sz w:val="16"/>
      <w:lang w:val="en-US" w:eastAsia="en-US" w:bidi="ar-SA"/>
    </w:rPr>
  </w:style>
  <w:style w:type="paragraph" w:customStyle="1" w:styleId="35">
    <w:name w:val="Els-appendixhead"/>
    <w:next w:val="1"/>
    <w:qFormat/>
    <w:uiPriority w:val="0"/>
    <w:pPr>
      <w:numPr>
        <w:ilvl w:val="0"/>
        <w:numId w:val="2"/>
      </w:numPr>
      <w:spacing w:before="230" w:after="230" w:line="230" w:lineRule="exact"/>
    </w:pPr>
    <w:rPr>
      <w:rFonts w:ascii="Times New Roman" w:hAnsi="Times New Roman" w:eastAsia="宋体" w:cs="Times New Roman"/>
      <w:b/>
      <w:sz w:val="19"/>
      <w:lang w:val="en-US" w:eastAsia="en-US" w:bidi="ar-SA"/>
    </w:rPr>
  </w:style>
  <w:style w:type="paragraph" w:customStyle="1" w:styleId="36">
    <w:name w:val="Els-appendixsubhead"/>
    <w:next w:val="1"/>
    <w:qFormat/>
    <w:uiPriority w:val="0"/>
    <w:pPr>
      <w:numPr>
        <w:ilvl w:val="1"/>
        <w:numId w:val="3"/>
      </w:numPr>
      <w:spacing w:before="230" w:after="230" w:line="230" w:lineRule="exact"/>
    </w:pPr>
    <w:rPr>
      <w:rFonts w:ascii="Times New Roman" w:hAnsi="Times New Roman" w:eastAsia="宋体" w:cs="Times New Roman"/>
      <w:i/>
      <w:sz w:val="17"/>
      <w:lang w:val="en-US" w:eastAsia="en-US" w:bidi="ar-SA"/>
    </w:rPr>
  </w:style>
  <w:style w:type="paragraph" w:customStyle="1" w:styleId="37">
    <w:name w:val="Els-Author"/>
    <w:next w:val="1"/>
    <w:autoRedefine/>
    <w:qFormat/>
    <w:uiPriority w:val="0"/>
    <w:pPr>
      <w:keepNext/>
      <w:tabs>
        <w:tab w:val="center" w:pos="5189"/>
        <w:tab w:val="left" w:pos="9525"/>
      </w:tabs>
      <w:suppressAutoHyphens/>
      <w:spacing w:after="180" w:line="300" w:lineRule="exact"/>
      <w:jc w:val="both"/>
    </w:pPr>
    <w:rPr>
      <w:rFonts w:ascii="Times New Roman" w:hAnsi="Times New Roman" w:eastAsia="宋体" w:cs="Times New Roman"/>
      <w:b/>
      <w:i/>
      <w:sz w:val="24"/>
      <w:szCs w:val="24"/>
      <w:lang w:val="en-US" w:eastAsia="en-US" w:bidi="ar-SA"/>
    </w:rPr>
  </w:style>
  <w:style w:type="paragraph" w:customStyle="1" w:styleId="38">
    <w:name w:val="Els-bulletlist"/>
    <w:basedOn w:val="26"/>
    <w:qFormat/>
    <w:uiPriority w:val="0"/>
    <w:pPr>
      <w:numPr>
        <w:ilvl w:val="0"/>
        <w:numId w:val="4"/>
      </w:numPr>
      <w:tabs>
        <w:tab w:val="left" w:pos="240"/>
      </w:tabs>
      <w:ind w:left="238" w:hanging="238"/>
      <w:jc w:val="left"/>
    </w:pPr>
  </w:style>
  <w:style w:type="paragraph" w:customStyle="1" w:styleId="39">
    <w:name w:val="Els-table-caption"/>
    <w:qFormat/>
    <w:uiPriority w:val="0"/>
    <w:pPr>
      <w:keepLines/>
      <w:spacing w:before="230" w:after="230" w:line="200" w:lineRule="exact"/>
    </w:pPr>
    <w:rPr>
      <w:rFonts w:ascii="Times New Roman" w:hAnsi="Times New Roman" w:eastAsia="宋体" w:cs="Times New Roman"/>
      <w:b/>
      <w:sz w:val="16"/>
      <w:lang w:val="en-US" w:eastAsia="en-US" w:bidi="ar-SA"/>
    </w:rPr>
  </w:style>
  <w:style w:type="paragraph" w:customStyle="1" w:styleId="40">
    <w:name w:val="Els-chem-equation"/>
    <w:next w:val="26"/>
    <w:qFormat/>
    <w:uiPriority w:val="0"/>
    <w:pPr>
      <w:tabs>
        <w:tab w:val="right" w:pos="4320"/>
        <w:tab w:val="right" w:pos="9120"/>
      </w:tabs>
      <w:spacing w:before="120" w:after="120" w:line="220" w:lineRule="exact"/>
    </w:pPr>
    <w:rPr>
      <w:rFonts w:ascii="Times New Roman" w:hAnsi="Times New Roman" w:eastAsia="宋体" w:cs="Times New Roman"/>
      <w:sz w:val="18"/>
      <w:lang w:val="en-US" w:eastAsia="en-US" w:bidi="ar-SA"/>
    </w:rPr>
  </w:style>
  <w:style w:type="paragraph" w:customStyle="1" w:styleId="41">
    <w:name w:val="Els-collaboration"/>
    <w:basedOn w:val="37"/>
    <w:qFormat/>
    <w:uiPriority w:val="0"/>
    <w:pPr>
      <w:jc w:val="right"/>
    </w:pPr>
  </w:style>
  <w:style w:type="paragraph" w:customStyle="1" w:styleId="42">
    <w:name w:val="Els-collaboration-affiliation"/>
    <w:basedOn w:val="41"/>
    <w:qFormat/>
    <w:uiPriority w:val="0"/>
  </w:style>
  <w:style w:type="paragraph" w:customStyle="1" w:styleId="43">
    <w:name w:val="Els-presented-by"/>
    <w:qFormat/>
    <w:uiPriority w:val="0"/>
    <w:pPr>
      <w:spacing w:after="200"/>
      <w:jc w:val="center"/>
    </w:pPr>
    <w:rPr>
      <w:rFonts w:ascii="Times New Roman" w:hAnsi="Times New Roman" w:eastAsia="宋体" w:cs="Times New Roman"/>
      <w:b/>
      <w:sz w:val="16"/>
      <w:lang w:val="en-US" w:eastAsia="en-US" w:bidi="ar-SA"/>
    </w:rPr>
  </w:style>
  <w:style w:type="paragraph" w:customStyle="1" w:styleId="44">
    <w:name w:val="Els-dedicated-to"/>
    <w:basedOn w:val="43"/>
    <w:qFormat/>
    <w:uiPriority w:val="0"/>
    <w:rPr>
      <w:b w:val="0"/>
    </w:rPr>
  </w:style>
  <w:style w:type="paragraph" w:customStyle="1" w:styleId="45">
    <w:name w:val="Els-equation"/>
    <w:next w:val="1"/>
    <w:qFormat/>
    <w:uiPriority w:val="0"/>
    <w:pPr>
      <w:widowControl w:val="0"/>
      <w:tabs>
        <w:tab w:val="right" w:pos="4320"/>
        <w:tab w:val="right" w:pos="9120"/>
      </w:tabs>
      <w:spacing w:before="230" w:after="230" w:line="360" w:lineRule="auto"/>
    </w:pPr>
    <w:rPr>
      <w:rFonts w:ascii="Times New Roman" w:hAnsi="Times New Roman" w:eastAsia="宋体" w:cs="Times New Roman"/>
      <w:i/>
      <w:sz w:val="16"/>
      <w:lang w:val="en-US" w:eastAsia="en-US" w:bidi="ar-SA"/>
    </w:rPr>
  </w:style>
  <w:style w:type="paragraph" w:customStyle="1" w:styleId="46">
    <w:name w:val="Els-footnote"/>
    <w:qFormat/>
    <w:uiPriority w:val="0"/>
    <w:pPr>
      <w:keepLines/>
      <w:widowControl w:val="0"/>
      <w:spacing w:after="220" w:line="200" w:lineRule="exact"/>
      <w:ind w:firstLine="113"/>
      <w:jc w:val="both"/>
    </w:pPr>
    <w:rPr>
      <w:rFonts w:ascii="Times New Roman" w:hAnsi="Times New Roman" w:eastAsia="宋体" w:cs="Times New Roman"/>
      <w:sz w:val="15"/>
      <w:lang w:val="en-US" w:eastAsia="en-US" w:bidi="ar-SA"/>
    </w:rPr>
  </w:style>
  <w:style w:type="paragraph" w:customStyle="1" w:styleId="47">
    <w:name w:val="Els-history"/>
    <w:next w:val="1"/>
    <w:uiPriority w:val="0"/>
    <w:pPr>
      <w:pBdr>
        <w:top w:val="single" w:color="auto" w:sz="4" w:space="1"/>
      </w:pBdr>
      <w:spacing w:line="230" w:lineRule="exact"/>
    </w:pPr>
    <w:rPr>
      <w:rFonts w:ascii="Times New Roman" w:hAnsi="Times New Roman" w:eastAsia="宋体" w:cs="Times New Roman"/>
      <w:sz w:val="15"/>
      <w:lang w:val="en-US" w:eastAsia="en-US" w:bidi="ar-SA"/>
    </w:rPr>
  </w:style>
  <w:style w:type="paragraph" w:customStyle="1" w:styleId="48">
    <w:name w:val="Els-journal-logo"/>
    <w:qFormat/>
    <w:uiPriority w:val="0"/>
    <w:pPr>
      <w:pBdr>
        <w:top w:val="thinThickLargeGap" w:color="auto" w:sz="12" w:space="0"/>
        <w:bottom w:val="thickThinLargeGap" w:color="auto" w:sz="12" w:space="0"/>
      </w:pBdr>
    </w:pPr>
    <w:rPr>
      <w:rFonts w:ascii="Helvetica" w:hAnsi="Helvetica" w:eastAsia="宋体" w:cs="Times New Roman"/>
      <w:b/>
      <w:sz w:val="24"/>
      <w:lang w:val="en-US" w:eastAsia="en-US" w:bidi="ar-SA"/>
    </w:rPr>
  </w:style>
  <w:style w:type="paragraph" w:customStyle="1" w:styleId="49">
    <w:name w:val="Els-keywords"/>
    <w:next w:val="1"/>
    <w:autoRedefine/>
    <w:uiPriority w:val="0"/>
    <w:pPr>
      <w:pBdr>
        <w:top w:val="single" w:color="auto" w:sz="4" w:space="1"/>
      </w:pBdr>
      <w:spacing w:line="230" w:lineRule="exact"/>
    </w:pPr>
    <w:rPr>
      <w:rFonts w:ascii="Times New Roman" w:hAnsi="Times New Roman" w:eastAsia="宋体" w:cs="Times New Roman"/>
      <w:sz w:val="15"/>
      <w:lang w:val="en-US" w:eastAsia="en-US" w:bidi="ar-SA"/>
    </w:rPr>
  </w:style>
  <w:style w:type="paragraph" w:customStyle="1" w:styleId="50">
    <w:name w:val="Els-numlist"/>
    <w:basedOn w:val="26"/>
    <w:uiPriority w:val="0"/>
    <w:pPr>
      <w:numPr>
        <w:ilvl w:val="0"/>
        <w:numId w:val="5"/>
      </w:numPr>
      <w:tabs>
        <w:tab w:val="left" w:pos="240"/>
      </w:tabs>
      <w:ind w:left="480"/>
      <w:jc w:val="left"/>
    </w:pPr>
  </w:style>
  <w:style w:type="paragraph" w:customStyle="1" w:styleId="51">
    <w:name w:val="Els-reference"/>
    <w:qFormat/>
    <w:uiPriority w:val="0"/>
    <w:pPr>
      <w:tabs>
        <w:tab w:val="left" w:pos="312"/>
      </w:tabs>
      <w:spacing w:line="200" w:lineRule="exact"/>
      <w:ind w:left="240" w:hanging="240"/>
    </w:pPr>
    <w:rPr>
      <w:rFonts w:ascii="Times New Roman" w:hAnsi="Times New Roman" w:eastAsia="宋体" w:cs="Times New Roman"/>
      <w:sz w:val="15"/>
      <w:lang w:val="en-US" w:eastAsia="en-US" w:bidi="ar-SA"/>
    </w:rPr>
  </w:style>
  <w:style w:type="paragraph" w:customStyle="1" w:styleId="52">
    <w:name w:val="Els-reference-head"/>
    <w:next w:val="51"/>
    <w:qFormat/>
    <w:uiPriority w:val="0"/>
    <w:pPr>
      <w:keepNext/>
      <w:pBdr>
        <w:bottom w:val="single" w:color="auto" w:sz="2" w:space="1"/>
      </w:pBdr>
      <w:spacing w:before="230" w:after="220" w:line="220" w:lineRule="exact"/>
    </w:pPr>
    <w:rPr>
      <w:rFonts w:ascii="Times New Roman" w:hAnsi="Times New Roman" w:eastAsia="宋体" w:cs="Times New Roman"/>
      <w:smallCaps/>
      <w:sz w:val="18"/>
      <w:lang w:val="en-US" w:eastAsia="en-US" w:bidi="ar-SA"/>
    </w:rPr>
  </w:style>
  <w:style w:type="paragraph" w:customStyle="1" w:styleId="53">
    <w:name w:val="Els-reprint-line"/>
    <w:basedOn w:val="1"/>
    <w:qFormat/>
    <w:uiPriority w:val="0"/>
    <w:pPr>
      <w:tabs>
        <w:tab w:val="left" w:pos="0"/>
        <w:tab w:val="center" w:pos="5443"/>
      </w:tabs>
      <w:jc w:val="center"/>
    </w:pPr>
  </w:style>
  <w:style w:type="paragraph" w:customStyle="1" w:styleId="54">
    <w:name w:val="Els-table-text"/>
    <w:qFormat/>
    <w:uiPriority w:val="0"/>
    <w:pPr>
      <w:spacing w:after="80" w:line="200" w:lineRule="exact"/>
    </w:pPr>
    <w:rPr>
      <w:rFonts w:ascii="Times New Roman" w:hAnsi="Times New Roman" w:eastAsia="宋体" w:cs="Times New Roman"/>
      <w:sz w:val="14"/>
      <w:lang w:val="en-US" w:eastAsia="en-US" w:bidi="ar-SA"/>
    </w:rPr>
  </w:style>
  <w:style w:type="paragraph" w:customStyle="1" w:styleId="55">
    <w:name w:val="Els-Title"/>
    <w:next w:val="37"/>
    <w:autoRedefine/>
    <w:qFormat/>
    <w:uiPriority w:val="0"/>
    <w:pPr>
      <w:suppressAutoHyphens/>
      <w:spacing w:after="340" w:line="440" w:lineRule="exact"/>
      <w:jc w:val="both"/>
    </w:pPr>
    <w:rPr>
      <w:rFonts w:ascii="Times New Roman" w:hAnsi="Times New Roman" w:eastAsia="宋体" w:cs="Times New Roman"/>
      <w:b/>
      <w:sz w:val="32"/>
      <w:lang w:val="en-US" w:eastAsia="en-US" w:bidi="ar-SA"/>
    </w:rPr>
  </w:style>
  <w:style w:type="character" w:customStyle="1" w:styleId="56">
    <w:name w:val="MTEquationSection"/>
    <w:qFormat/>
    <w:uiPriority w:val="0"/>
    <w:rPr>
      <w:color w:val="FF0000"/>
    </w:rPr>
  </w:style>
  <w:style w:type="paragraph" w:customStyle="1" w:styleId="57">
    <w:name w:val="Els-5thorder-head"/>
    <w:next w:val="26"/>
    <w:qFormat/>
    <w:uiPriority w:val="0"/>
    <w:pPr>
      <w:keepNext/>
      <w:suppressAutoHyphens/>
      <w:spacing w:line="240" w:lineRule="exact"/>
    </w:pPr>
    <w:rPr>
      <w:rFonts w:ascii="Times New Roman" w:hAnsi="Times New Roman" w:eastAsia="宋体" w:cs="Times New Roman"/>
      <w:i/>
      <w:lang w:val="en-US" w:eastAsia="en-US" w:bidi="ar-SA"/>
    </w:rPr>
  </w:style>
  <w:style w:type="paragraph" w:customStyle="1" w:styleId="58">
    <w:name w:val="Els-Abstract-Copyright"/>
    <w:basedOn w:val="31"/>
    <w:qFormat/>
    <w:uiPriority w:val="0"/>
    <w:pPr>
      <w:spacing w:before="0" w:line="230" w:lineRule="exact"/>
      <w:jc w:val="right"/>
    </w:pPr>
  </w:style>
  <w:style w:type="paragraph" w:customStyle="1" w:styleId="59">
    <w:name w:val="DocHead"/>
    <w:qFormat/>
    <w:uiPriority w:val="0"/>
    <w:pPr>
      <w:spacing w:before="190" w:after="280" w:line="240" w:lineRule="exact"/>
    </w:pPr>
    <w:rPr>
      <w:rFonts w:ascii="Times New Roman" w:hAnsi="Times New Roman" w:eastAsia="宋体" w:cs="Times New Roman"/>
      <w:b/>
      <w:sz w:val="24"/>
      <w:lang w:val="en-US" w:eastAsia="en-US" w:bidi="ar-SA"/>
    </w:rPr>
  </w:style>
  <w:style w:type="character" w:customStyle="1" w:styleId="60">
    <w:name w:val="Els-1storder-head Char"/>
    <w:qFormat/>
    <w:uiPriority w:val="0"/>
    <w:rPr>
      <w:b/>
      <w:lang w:val="en-US" w:eastAsia="en-US" w:bidi="ar-SA"/>
    </w:rPr>
  </w:style>
  <w:style w:type="character" w:customStyle="1" w:styleId="61">
    <w:name w:val="Balloon Text Char"/>
    <w:qFormat/>
    <w:uiPriority w:val="0"/>
    <w:rPr>
      <w:rFonts w:ascii="Tahoma" w:hAnsi="Tahoma" w:cs="Tahoma"/>
      <w:sz w:val="16"/>
      <w:szCs w:val="16"/>
      <w:lang w:eastAsia="en-US"/>
    </w:rPr>
  </w:style>
  <w:style w:type="character" w:customStyle="1" w:styleId="62">
    <w:name w:val="Comment Text Char"/>
    <w:semiHidden/>
    <w:uiPriority w:val="0"/>
    <w:rPr>
      <w:lang w:val="en-GB"/>
    </w:rPr>
  </w:style>
  <w:style w:type="character" w:customStyle="1" w:styleId="63">
    <w:name w:val="Comment Subject Char"/>
    <w:semiHidden/>
    <w:qFormat/>
    <w:uiPriority w:val="0"/>
    <w:rPr>
      <w:b/>
      <w:bCs/>
      <w:lang w:val="en-GB"/>
    </w:rPr>
  </w:style>
  <w:style w:type="paragraph" w:customStyle="1" w:styleId="64">
    <w:name w:val="Colorful List - Accent 11"/>
    <w:basedOn w:val="1"/>
    <w:qFormat/>
    <w:uiPriority w:val="0"/>
    <w:pPr>
      <w:widowControl/>
      <w:spacing w:line="200" w:lineRule="exact"/>
      <w:ind w:left="720"/>
    </w:pPr>
    <w:rPr>
      <w:rFonts w:ascii="Arial" w:hAnsi="Arial" w:eastAsia="Batang"/>
      <w:sz w:val="15"/>
      <w:szCs w:val="24"/>
      <w:lang w:val="en-US" w:eastAsia="ko-KR"/>
    </w:rPr>
  </w:style>
  <w:style w:type="paragraph" w:customStyle="1" w:styleId="65">
    <w:name w:val="RefIndent"/>
    <w:basedOn w:val="14"/>
    <w:uiPriority w:val="0"/>
    <w:pPr>
      <w:tabs>
        <w:tab w:val="left" w:pos="-1403"/>
        <w:tab w:val="left" w:pos="-720"/>
        <w:tab w:val="left" w:pos="0"/>
        <w:tab w:val="left" w:pos="324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76"/>
        <w:tab w:val="left" w:pos="3600"/>
        <w:tab w:val="left" w:pos="396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205"/>
        <w:tab w:val="left" w:pos="10800"/>
      </w:tabs>
      <w:suppressAutoHyphens/>
      <w:spacing w:after="0"/>
      <w:ind w:left="380" w:hanging="380"/>
      <w:jc w:val="both"/>
    </w:pPr>
    <w:rPr>
      <w:rFonts w:eastAsia="Times New Roman"/>
      <w:snapToGrid w:val="0"/>
      <w:spacing w:val="-2"/>
      <w:sz w:val="22"/>
      <w:szCs w:val="20"/>
      <w:lang w:val="en-US"/>
    </w:rPr>
  </w:style>
  <w:style w:type="character" w:styleId="66">
    <w:name w:val="Placeholder Text"/>
    <w:basedOn w:val="18"/>
    <w:semiHidden/>
    <w:qFormat/>
    <w:uiPriority w:val="99"/>
    <w:rPr>
      <w:color w:val="808080"/>
    </w:rPr>
  </w:style>
  <w:style w:type="character" w:customStyle="1" w:styleId="67">
    <w:name w:val="Header Char"/>
    <w:basedOn w:val="18"/>
    <w:link w:val="12"/>
    <w:qFormat/>
    <w:uiPriority w:val="0"/>
    <w:rPr>
      <w:sz w:val="14"/>
      <w:lang w:val="en-US" w:eastAsia="en-US"/>
    </w:rPr>
  </w:style>
  <w:style w:type="paragraph" w:customStyle="1" w:styleId="68">
    <w:name w:val="Els-history-head"/>
    <w:basedOn w:val="47"/>
    <w:qFormat/>
    <w:uiPriority w:val="0"/>
    <w:rPr>
      <w:i/>
    </w:rPr>
  </w:style>
  <w:style w:type="paragraph" w:customStyle="1" w:styleId="69">
    <w:name w:val="Els-NoIndent"/>
    <w:basedOn w:val="26"/>
    <w:qFormat/>
    <w:uiPriority w:val="0"/>
    <w:pPr>
      <w:ind w:firstLine="0"/>
    </w:pPr>
  </w:style>
  <w:style w:type="paragraph" w:customStyle="1" w:styleId="70">
    <w:name w:val="Els-table-col-head"/>
    <w:basedOn w:val="54"/>
    <w:qFormat/>
    <w:uiPriority w:val="0"/>
    <w:rPr>
      <w:b/>
      <w:sz w:val="16"/>
    </w:rPr>
  </w:style>
  <w:style w:type="paragraph" w:customStyle="1" w:styleId="71">
    <w:name w:val="Els-figure-caption"/>
    <w:basedOn w:val="39"/>
    <w:qFormat/>
    <w:uiPriority w:val="0"/>
    <w:pPr>
      <w:spacing w:after="240" w:line="230" w:lineRule="exact"/>
      <w:jc w:val="center"/>
    </w:pPr>
  </w:style>
  <w:style w:type="paragraph" w:customStyle="1" w:styleId="72">
    <w:name w:val="Running-head"/>
    <w:basedOn w:val="12"/>
    <w:qFormat/>
    <w:uiPriority w:val="0"/>
    <w:pPr>
      <w:tabs>
        <w:tab w:val="center" w:pos="4920"/>
      </w:tabs>
      <w:spacing w:line="200" w:lineRule="exact"/>
      <w:jc w:val="center"/>
    </w:pPr>
    <w:rPr>
      <w:smallCaps/>
    </w:rPr>
  </w:style>
  <w:style w:type="character" w:customStyle="1" w:styleId="73">
    <w:name w:val="Footer Char"/>
    <w:basedOn w:val="18"/>
    <w:link w:val="11"/>
    <w:qFormat/>
    <w:uiPriority w:val="99"/>
    <w:rPr>
      <w:i/>
      <w:sz w:val="14"/>
      <w:lang w:val="en-US" w:eastAsia="en-US"/>
    </w:rPr>
  </w:style>
</w:style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microsoft.com/office/2006/relationships/keyMapCustomizations" Target="customizations.xml"/><Relationship Id="rId13" Type="http://schemas.openxmlformats.org/officeDocument/2006/relationships/customXml" Target="../customXml/item1.xml"/><Relationship Id="rId12" Type="http://schemas.openxmlformats.org/officeDocument/2006/relationships/numbering" Target="numbering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aog\My%20Documents\--%20procedia\PROENG\Templates\new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23215-FBFF-47E0-855B-94D748EB647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newtemplate</Template>
  <Company>Hewlett-Packard Company</Company>
  <Pages>3</Pages>
  <Words>730</Words>
  <Characters>1344</Characters>
  <Lines>68</Lines>
  <Paragraphs>19</Paragraphs>
  <TotalTime>14</TotalTime>
  <ScaleCrop>false</ScaleCrop>
  <LinksUpToDate>false</LinksUpToDate>
  <CharactersWithSpaces>1537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2017-10-05T19:36:00Z</dcterms:created>
  <dc:creator>yaog</dc:creator>
  <cp:lastModifiedBy>sp/sp²/sp³</cp:lastModifiedBy>
  <cp:lastPrinted>2013-04-16T06:12:00Z</cp:lastPrinted>
  <dcterms:modified xsi:type="dcterms:W3CDTF">2026-02-25T02:43:10Z</dcterms:modified>
  <dc:title>Article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eyJoZGlkIjoiOWU5YzhhZGFhZWRmZGViMjhkMzdjNDAxYTYzMWNjM2QiLCJ1c2VySWQiOiIxMjM0NTg5MjQ0In0=</vt:lpwstr>
  </property>
  <property fmtid="{D5CDD505-2E9C-101B-9397-08002B2CF9AE}" pid="3" name="KSOProductBuildVer">
    <vt:lpwstr>2052-12.1.0.25225</vt:lpwstr>
  </property>
  <property fmtid="{D5CDD505-2E9C-101B-9397-08002B2CF9AE}" pid="4" name="ICV">
    <vt:lpwstr>A995F4078E4E49948507CD4473F5BB53_12</vt:lpwstr>
  </property>
</Properties>
</file>