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1652B" w14:textId="77777777" w:rsidR="008851E8" w:rsidRPr="00DE3CA0" w:rsidRDefault="00000000" w:rsidP="00DE3CA0">
      <w:pPr>
        <w:spacing w:before="720"/>
        <w:rPr>
          <w:rFonts w:ascii="Times New Roman" w:eastAsia="黑体" w:hAnsi="Times New Roman" w:cs="Times New Roman"/>
          <w:b/>
          <w:bCs/>
          <w:sz w:val="36"/>
          <w:szCs w:val="36"/>
        </w:rPr>
      </w:pPr>
      <w:r w:rsidRPr="00DE3CA0">
        <w:rPr>
          <w:rFonts w:ascii="Times New Roman" w:eastAsia="黑体" w:hAnsi="Times New Roman" w:cs="Times New Roman"/>
          <w:b/>
          <w:bCs/>
          <w:sz w:val="36"/>
          <w:szCs w:val="36"/>
        </w:rPr>
        <w:t>虚拟学术期刊与青年亚文化实践：小红书</w:t>
      </w:r>
      <w:r w:rsidRPr="00DE3CA0">
        <w:rPr>
          <w:rFonts w:ascii="Times New Roman" w:eastAsia="黑体" w:hAnsi="Times New Roman" w:cs="Times New Roman"/>
          <w:b/>
          <w:bCs/>
          <w:sz w:val="36"/>
          <w:szCs w:val="36"/>
        </w:rPr>
        <w:t>“</w:t>
      </w:r>
      <w:r w:rsidRPr="00DE3CA0">
        <w:rPr>
          <w:rFonts w:ascii="Times New Roman" w:eastAsia="黑体" w:hAnsi="Times New Roman" w:cs="Times New Roman"/>
          <w:b/>
          <w:bCs/>
          <w:sz w:val="36"/>
          <w:szCs w:val="36"/>
        </w:rPr>
        <w:t>底刊</w:t>
      </w:r>
      <w:r w:rsidRPr="00DE3CA0">
        <w:rPr>
          <w:rFonts w:ascii="Times New Roman" w:eastAsia="黑体" w:hAnsi="Times New Roman" w:cs="Times New Roman"/>
          <w:b/>
          <w:bCs/>
          <w:sz w:val="36"/>
          <w:szCs w:val="36"/>
        </w:rPr>
        <w:t>”</w:t>
      </w:r>
      <w:r w:rsidRPr="00DE3CA0">
        <w:rPr>
          <w:rFonts w:ascii="Times New Roman" w:eastAsia="黑体" w:hAnsi="Times New Roman" w:cs="Times New Roman"/>
          <w:b/>
          <w:bCs/>
          <w:sz w:val="36"/>
          <w:szCs w:val="36"/>
        </w:rPr>
        <w:t>现象的系统综述与</w:t>
      </w:r>
      <w:r w:rsidRPr="00DE3CA0">
        <w:rPr>
          <w:rFonts w:ascii="Times New Roman" w:eastAsia="黑体" w:hAnsi="Times New Roman" w:cs="Times New Roman"/>
          <w:b/>
          <w:bCs/>
          <w:sz w:val="36"/>
          <w:szCs w:val="36"/>
        </w:rPr>
        <w:t>meta</w:t>
      </w:r>
      <w:r w:rsidRPr="00DE3CA0">
        <w:rPr>
          <w:rFonts w:ascii="Times New Roman" w:eastAsia="黑体" w:hAnsi="Times New Roman" w:cs="Times New Roman"/>
          <w:b/>
          <w:bCs/>
          <w:sz w:val="36"/>
          <w:szCs w:val="36"/>
        </w:rPr>
        <w:t>分析</w:t>
      </w:r>
    </w:p>
    <w:p w14:paraId="7B8016D4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摘要</w:t>
      </w:r>
    </w:p>
    <w:p w14:paraId="0FC25FFA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背景：</w:t>
      </w:r>
      <w:r w:rsidRPr="00DE3CA0">
        <w:rPr>
          <w:rFonts w:ascii="Times New Roman" w:eastAsia="黑体" w:hAnsi="Times New Roman" w:cs="Times New Roman"/>
          <w:sz w:val="24"/>
          <w:szCs w:val="24"/>
        </w:rPr>
        <w:t>2026</w:t>
      </w:r>
      <w:r w:rsidRPr="00DE3CA0">
        <w:rPr>
          <w:rFonts w:ascii="Times New Roman" w:eastAsia="黑体" w:hAnsi="Times New Roman" w:cs="Times New Roman"/>
          <w:sz w:val="24"/>
          <w:szCs w:val="24"/>
        </w:rPr>
        <w:t>年初，小红书平台兴起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虚拟学术期刊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（俗称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）现象，以《</w:t>
      </w:r>
      <w:r w:rsidRPr="00DE3CA0">
        <w:rPr>
          <w:rFonts w:ascii="Times New Roman" w:eastAsia="黑体" w:hAnsi="Times New Roman" w:cs="Times New Roman"/>
          <w:sz w:val="24"/>
          <w:szCs w:val="24"/>
        </w:rPr>
        <w:t>Rubbish</w:t>
      </w:r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r w:rsidRPr="00DE3CA0">
        <w:rPr>
          <w:rFonts w:ascii="Times New Roman" w:eastAsia="黑体" w:hAnsi="Times New Roman" w:cs="Times New Roman"/>
          <w:sz w:val="24"/>
          <w:szCs w:val="24"/>
        </w:rPr>
        <w:t>Nothing</w:t>
      </w:r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r w:rsidRPr="00DE3CA0">
        <w:rPr>
          <w:rFonts w:ascii="Times New Roman" w:eastAsia="黑体" w:hAnsi="Times New Roman" w:cs="Times New Roman"/>
          <w:sz w:val="24"/>
          <w:szCs w:val="24"/>
        </w:rPr>
        <w:t>Silence</w:t>
      </w:r>
      <w:r w:rsidRPr="00DE3CA0">
        <w:rPr>
          <w:rFonts w:ascii="Times New Roman" w:eastAsia="黑体" w:hAnsi="Times New Roman" w:cs="Times New Roman"/>
          <w:sz w:val="24"/>
          <w:szCs w:val="24"/>
        </w:rPr>
        <w:t>》为代表的戏仿学术期刊引发广泛关注，形成独特的青年亚文化实践。</w:t>
      </w:r>
    </w:p>
    <w:p w14:paraId="2E7857DA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目的：系统梳理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现象的运作模式、文化特征与社会功能，整合现有观察研究的核心发现，为理解数字时代的青年亚文化提供理论参照。</w:t>
      </w:r>
    </w:p>
    <w:p w14:paraId="79B0CF14" w14:textId="77998D12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方法：采用系统综述与</w:t>
      </w:r>
      <w:r w:rsidRPr="00DE3CA0">
        <w:rPr>
          <w:rFonts w:ascii="Times New Roman" w:eastAsia="黑体" w:hAnsi="Times New Roman" w:cs="Times New Roman"/>
          <w:sz w:val="24"/>
          <w:szCs w:val="24"/>
        </w:rPr>
        <w:t>meta</w:t>
      </w:r>
      <w:r w:rsidRPr="00DE3CA0">
        <w:rPr>
          <w:rFonts w:ascii="Times New Roman" w:eastAsia="黑体" w:hAnsi="Times New Roman" w:cs="Times New Roman"/>
          <w:sz w:val="24"/>
          <w:szCs w:val="24"/>
        </w:rPr>
        <w:t>分析方法，检索小红书平台及相关媒体报道中关于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现象的原始资料（</w:t>
      </w:r>
      <w:r w:rsidRPr="00DE3CA0">
        <w:rPr>
          <w:rFonts w:ascii="Times New Roman" w:eastAsia="黑体" w:hAnsi="Times New Roman" w:cs="Times New Roman"/>
          <w:sz w:val="24"/>
          <w:szCs w:val="24"/>
        </w:rPr>
        <w:t>2026</w:t>
      </w:r>
      <w:r w:rsidRPr="00DE3CA0">
        <w:rPr>
          <w:rFonts w:ascii="Times New Roman" w:eastAsia="黑体" w:hAnsi="Times New Roman" w:cs="Times New Roman"/>
          <w:sz w:val="24"/>
          <w:szCs w:val="24"/>
        </w:rPr>
        <w:t>年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月</w:t>
      </w:r>
      <w:r w:rsidRPr="00DE3CA0">
        <w:rPr>
          <w:rFonts w:ascii="Times New Roman" w:eastAsia="黑体" w:hAnsi="Times New Roman" w:cs="Times New Roman"/>
          <w:sz w:val="24"/>
          <w:szCs w:val="24"/>
        </w:rPr>
        <w:t>—2</w:t>
      </w:r>
      <w:r w:rsidRPr="00DE3CA0">
        <w:rPr>
          <w:rFonts w:ascii="Times New Roman" w:eastAsia="黑体" w:hAnsi="Times New Roman" w:cs="Times New Roman"/>
          <w:sz w:val="24"/>
          <w:szCs w:val="24"/>
        </w:rPr>
        <w:t>月）。纳入标准包括：（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）以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为核心议题；（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2</w:t>
      </w:r>
      <w:r w:rsidRPr="00DE3CA0">
        <w:rPr>
          <w:rFonts w:ascii="Times New Roman" w:eastAsia="黑体" w:hAnsi="Times New Roman" w:cs="Times New Roman"/>
          <w:sz w:val="24"/>
          <w:szCs w:val="24"/>
        </w:rPr>
        <w:t>）包含对运作模式、文化内涵或社群互动的描述；（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3</w:t>
      </w:r>
      <w:r w:rsidRPr="00DE3CA0">
        <w:rPr>
          <w:rFonts w:ascii="Times New Roman" w:eastAsia="黑体" w:hAnsi="Times New Roman" w:cs="Times New Roman"/>
          <w:sz w:val="24"/>
          <w:szCs w:val="24"/>
        </w:rPr>
        <w:t>）信息来源可追溯。</w:t>
      </w:r>
    </w:p>
    <w:p w14:paraId="5220DD5D" w14:textId="5C07C375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结果：</w:t>
      </w:r>
      <w:r w:rsidR="00807411" w:rsidRPr="00807411">
        <w:rPr>
          <w:rFonts w:ascii="Times New Roman" w:eastAsia="黑体" w:hAnsi="Times New Roman" w:cs="Times New Roman" w:hint="eastAsia"/>
          <w:sz w:val="24"/>
          <w:szCs w:val="24"/>
        </w:rPr>
        <w:t>共纳入</w:t>
      </w:r>
      <w:r w:rsidR="00807411" w:rsidRPr="00807411">
        <w:rPr>
          <w:rFonts w:ascii="Times New Roman" w:eastAsia="黑体" w:hAnsi="Times New Roman" w:cs="Times New Roman" w:hint="eastAsia"/>
          <w:sz w:val="24"/>
          <w:szCs w:val="24"/>
        </w:rPr>
        <w:t>17</w:t>
      </w:r>
      <w:r w:rsidR="00807411" w:rsidRPr="00807411">
        <w:rPr>
          <w:rFonts w:ascii="Times New Roman" w:eastAsia="黑体" w:hAnsi="Times New Roman" w:cs="Times New Roman" w:hint="eastAsia"/>
          <w:sz w:val="24"/>
          <w:szCs w:val="24"/>
        </w:rPr>
        <w:t>份文献</w:t>
      </w:r>
      <w:r w:rsidR="00807411" w:rsidRPr="00807411">
        <w:rPr>
          <w:rFonts w:ascii="Times New Roman" w:eastAsia="黑体" w:hAnsi="Times New Roman" w:cs="Times New Roman" w:hint="eastAsia"/>
          <w:sz w:val="24"/>
          <w:szCs w:val="24"/>
        </w:rPr>
        <w:t>/</w:t>
      </w:r>
      <w:r w:rsidR="00807411" w:rsidRPr="00807411">
        <w:rPr>
          <w:rFonts w:ascii="Times New Roman" w:eastAsia="黑体" w:hAnsi="Times New Roman" w:cs="Times New Roman" w:hint="eastAsia"/>
          <w:sz w:val="24"/>
          <w:szCs w:val="24"/>
        </w:rPr>
        <w:t>资料，采用主题综合法进行定性</w:t>
      </w:r>
      <w:r w:rsidR="00807411" w:rsidRPr="00807411">
        <w:rPr>
          <w:rFonts w:ascii="Times New Roman" w:eastAsia="黑体" w:hAnsi="Times New Roman" w:cs="Times New Roman" w:hint="eastAsia"/>
          <w:sz w:val="24"/>
          <w:szCs w:val="24"/>
        </w:rPr>
        <w:t>meta</w:t>
      </w:r>
      <w:r w:rsidR="00807411" w:rsidRPr="00807411">
        <w:rPr>
          <w:rFonts w:ascii="Times New Roman" w:eastAsia="黑体" w:hAnsi="Times New Roman" w:cs="Times New Roman" w:hint="eastAsia"/>
          <w:sz w:val="24"/>
          <w:szCs w:val="24"/>
        </w:rPr>
        <w:t>分析。</w:t>
      </w:r>
      <w:r w:rsidRPr="00DE3CA0">
        <w:rPr>
          <w:rFonts w:ascii="Times New Roman" w:eastAsia="黑体" w:hAnsi="Times New Roman" w:cs="Times New Roman"/>
          <w:sz w:val="24"/>
          <w:szCs w:val="24"/>
        </w:rPr>
        <w:t>（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）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现象呈现三大核心特征：</w:t>
      </w:r>
      <w:r w:rsidRPr="00DE3CA0">
        <w:rPr>
          <w:rFonts w:ascii="Cambria Math" w:eastAsia="黑体" w:hAnsi="Cambria Math" w:cs="Cambria Math"/>
          <w:sz w:val="24"/>
          <w:szCs w:val="24"/>
        </w:rPr>
        <w:t>①</w:t>
      </w:r>
      <w:r w:rsidRPr="00DE3CA0">
        <w:rPr>
          <w:rFonts w:ascii="Times New Roman" w:eastAsia="黑体" w:hAnsi="Times New Roman" w:cs="Times New Roman"/>
          <w:sz w:val="24"/>
          <w:szCs w:val="24"/>
        </w:rPr>
        <w:t>运作模式上，以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来稿即发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</w:t>
      </w:r>
      <w:r w:rsidRPr="00DE3CA0">
        <w:rPr>
          <w:rFonts w:ascii="Times New Roman" w:eastAsia="黑体" w:hAnsi="Times New Roman" w:cs="Times New Roman"/>
          <w:sz w:val="24"/>
          <w:szCs w:val="24"/>
        </w:rPr>
        <w:t>为爱发电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为原则，形成高度包容的共创生态；</w:t>
      </w:r>
      <w:r w:rsidRPr="00DE3CA0">
        <w:rPr>
          <w:rFonts w:ascii="Cambria Math" w:eastAsia="黑体" w:hAnsi="Cambria Math" w:cs="Cambria Math"/>
          <w:sz w:val="24"/>
          <w:szCs w:val="24"/>
        </w:rPr>
        <w:t>②</w:t>
      </w:r>
      <w:r w:rsidRPr="00DE3CA0">
        <w:rPr>
          <w:rFonts w:ascii="Times New Roman" w:eastAsia="黑体" w:hAnsi="Times New Roman" w:cs="Times New Roman"/>
          <w:sz w:val="24"/>
          <w:szCs w:val="24"/>
        </w:rPr>
        <w:t>文化内核上，通过对权威学术体系的戏仿，实现祛魅与解构；</w:t>
      </w:r>
      <w:r w:rsidRPr="00DE3CA0">
        <w:rPr>
          <w:rFonts w:ascii="Cambria Math" w:eastAsia="黑体" w:hAnsi="Cambria Math" w:cs="Cambria Math"/>
          <w:sz w:val="24"/>
          <w:szCs w:val="24"/>
        </w:rPr>
        <w:t>③</w:t>
      </w:r>
      <w:r w:rsidRPr="00DE3CA0">
        <w:rPr>
          <w:rFonts w:ascii="Times New Roman" w:eastAsia="黑体" w:hAnsi="Times New Roman" w:cs="Times New Roman"/>
          <w:sz w:val="24"/>
          <w:szCs w:val="24"/>
        </w:rPr>
        <w:t>符号系统上，衍生出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学术垃圾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等黑话，构建圈层身份认同。（</w:t>
      </w:r>
      <w:r w:rsidRPr="00DE3CA0">
        <w:rPr>
          <w:rFonts w:ascii="Times New Roman" w:eastAsia="黑体" w:hAnsi="Times New Roman" w:cs="Times New Roman"/>
          <w:sz w:val="24"/>
          <w:szCs w:val="24"/>
        </w:rPr>
        <w:t>2</w:t>
      </w:r>
      <w:r w:rsidRPr="00DE3CA0">
        <w:rPr>
          <w:rFonts w:ascii="Times New Roman" w:eastAsia="黑体" w:hAnsi="Times New Roman" w:cs="Times New Roman"/>
          <w:sz w:val="24"/>
          <w:szCs w:val="24"/>
        </w:rPr>
        <w:t>）评论区互动演变为符号化的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行为艺术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，形成低门槛的新型社交秩序。（</w:t>
      </w:r>
      <w:r w:rsidRPr="00DE3CA0">
        <w:rPr>
          <w:rFonts w:ascii="Times New Roman" w:eastAsia="黑体" w:hAnsi="Times New Roman" w:cs="Times New Roman"/>
          <w:sz w:val="24"/>
          <w:szCs w:val="24"/>
        </w:rPr>
        <w:t>3</w:t>
      </w:r>
      <w:r w:rsidRPr="00DE3CA0">
        <w:rPr>
          <w:rFonts w:ascii="Times New Roman" w:eastAsia="黑体" w:hAnsi="Times New Roman" w:cs="Times New Roman"/>
          <w:sz w:val="24"/>
          <w:szCs w:val="24"/>
        </w:rPr>
        <w:t>）现象背后折射青年群体对学术内卷的反抗、对失败经验的重新赋权，以及对社会连接的本真需求。</w:t>
      </w:r>
    </w:p>
    <w:p w14:paraId="0E3F4639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结论：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现象是数字时代青年亚文化的典型样本，标志着从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抵抗式亚文化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向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解构式后亚文化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的转向。其在荒诞戏谑中蕴含着对知识生产民主化的探索，为理解当代青年的精神状态与文化实践提供了重要窗口。</w:t>
      </w:r>
    </w:p>
    <w:p w14:paraId="3CFBCEF9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关键词：底刊；虚拟学术期刊；青年亚文化；系统综述；</w:t>
      </w:r>
      <w:r w:rsidRPr="00DE3CA0">
        <w:rPr>
          <w:rFonts w:ascii="Times New Roman" w:eastAsia="黑体" w:hAnsi="Times New Roman" w:cs="Times New Roman"/>
          <w:sz w:val="24"/>
          <w:szCs w:val="24"/>
        </w:rPr>
        <w:t>meta</w:t>
      </w:r>
      <w:r w:rsidRPr="00DE3CA0">
        <w:rPr>
          <w:rFonts w:ascii="Times New Roman" w:eastAsia="黑体" w:hAnsi="Times New Roman" w:cs="Times New Roman"/>
          <w:sz w:val="24"/>
          <w:szCs w:val="24"/>
        </w:rPr>
        <w:t>分析；小红书</w:t>
      </w:r>
    </w:p>
    <w:p w14:paraId="17B9E5C0" w14:textId="77777777" w:rsidR="008851E8" w:rsidRPr="00DE3CA0" w:rsidRDefault="008851E8">
      <w:pPr>
        <w:rPr>
          <w:rFonts w:ascii="Times New Roman" w:eastAsia="黑体" w:hAnsi="Times New Roman" w:cs="Times New Roman"/>
          <w:sz w:val="24"/>
          <w:szCs w:val="24"/>
        </w:rPr>
      </w:pPr>
    </w:p>
    <w:p w14:paraId="6B048202" w14:textId="4EB3BDEB" w:rsidR="00807411" w:rsidRDefault="00807411">
      <w:pPr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br w:type="page"/>
      </w:r>
    </w:p>
    <w:p w14:paraId="6089CA9E" w14:textId="77777777" w:rsidR="008851E8" w:rsidRPr="00522FCD" w:rsidRDefault="008851E8">
      <w:pPr>
        <w:rPr>
          <w:rFonts w:ascii="Times New Roman" w:eastAsia="黑体" w:hAnsi="Times New Roman" w:cs="Times New Roman"/>
          <w:sz w:val="24"/>
          <w:szCs w:val="24"/>
        </w:rPr>
      </w:pPr>
    </w:p>
    <w:p w14:paraId="40B74B72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1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背景</w:t>
      </w:r>
    </w:p>
    <w:p w14:paraId="7F8DD034" w14:textId="00EE3D56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2026</w:t>
      </w:r>
      <w:r w:rsidRPr="00DE3CA0">
        <w:rPr>
          <w:rFonts w:ascii="Times New Roman" w:eastAsia="黑体" w:hAnsi="Times New Roman" w:cs="Times New Roman"/>
          <w:sz w:val="24"/>
          <w:szCs w:val="24"/>
        </w:rPr>
        <w:t>年初，小红书平台兴起一股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虚拟学术期刊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风潮。一批以《</w:t>
      </w:r>
      <w:r w:rsidRPr="00DE3CA0">
        <w:rPr>
          <w:rFonts w:ascii="Times New Roman" w:eastAsia="黑体" w:hAnsi="Times New Roman" w:cs="Times New Roman"/>
          <w:sz w:val="24"/>
          <w:szCs w:val="24"/>
        </w:rPr>
        <w:t>Rubbish</w:t>
      </w:r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r w:rsidRPr="00DE3CA0">
        <w:rPr>
          <w:rFonts w:ascii="Times New Roman" w:eastAsia="黑体" w:hAnsi="Times New Roman" w:cs="Times New Roman"/>
          <w:sz w:val="24"/>
          <w:szCs w:val="24"/>
        </w:rPr>
        <w:t>Litter</w:t>
      </w:r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r w:rsidRPr="00DE3CA0">
        <w:rPr>
          <w:rFonts w:ascii="Times New Roman" w:eastAsia="黑体" w:hAnsi="Times New Roman" w:cs="Times New Roman"/>
          <w:sz w:val="24"/>
          <w:szCs w:val="24"/>
        </w:rPr>
        <w:t>Nothing</w:t>
      </w:r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proofErr w:type="spellStart"/>
      <w:r w:rsidRPr="00DE3CA0">
        <w:rPr>
          <w:rFonts w:ascii="Times New Roman" w:eastAsia="黑体" w:hAnsi="Times New Roman" w:cs="Times New Roman"/>
          <w:sz w:val="24"/>
          <w:szCs w:val="24"/>
        </w:rPr>
        <w:t>Notrue</w:t>
      </w:r>
      <w:proofErr w:type="spellEnd"/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r w:rsidRPr="00DE3CA0">
        <w:rPr>
          <w:rFonts w:ascii="Times New Roman" w:eastAsia="黑体" w:hAnsi="Times New Roman" w:cs="Times New Roman"/>
          <w:sz w:val="24"/>
          <w:szCs w:val="24"/>
        </w:rPr>
        <w:t>Silence</w:t>
      </w:r>
      <w:r w:rsidRPr="00DE3CA0">
        <w:rPr>
          <w:rFonts w:ascii="Times New Roman" w:eastAsia="黑体" w:hAnsi="Times New Roman" w:cs="Times New Roman"/>
          <w:sz w:val="24"/>
          <w:szCs w:val="24"/>
        </w:rPr>
        <w:t>》</w:t>
      </w:r>
      <w:r w:rsidR="00807411" w:rsidRPr="00DE3CA0">
        <w:rPr>
          <w:rFonts w:ascii="Times New Roman" w:eastAsia="黑体" w:hAnsi="Times New Roman" w:cs="Times New Roman"/>
          <w:sz w:val="24"/>
          <w:szCs w:val="24"/>
        </w:rPr>
        <w:t>《</w:t>
      </w:r>
      <w:r w:rsidR="00807411">
        <w:rPr>
          <w:rFonts w:ascii="Times New Roman" w:eastAsia="黑体" w:hAnsi="Times New Roman" w:cs="Times New Roman" w:hint="eastAsia"/>
          <w:sz w:val="24"/>
          <w:szCs w:val="24"/>
        </w:rPr>
        <w:t>The Nonsense</w:t>
      </w:r>
      <w:r w:rsidR="00807411" w:rsidRPr="00DE3CA0">
        <w:rPr>
          <w:rFonts w:ascii="Times New Roman" w:eastAsia="黑体" w:hAnsi="Times New Roman" w:cs="Times New Roman"/>
          <w:sz w:val="24"/>
          <w:szCs w:val="24"/>
        </w:rPr>
        <w:t>》</w:t>
      </w:r>
      <w:r w:rsidRPr="00DE3CA0">
        <w:rPr>
          <w:rFonts w:ascii="Times New Roman" w:eastAsia="黑体" w:hAnsi="Times New Roman" w:cs="Times New Roman"/>
          <w:sz w:val="24"/>
          <w:szCs w:val="24"/>
        </w:rPr>
        <w:t>为代表的账号，通过戏仿传统学术期刊的运作模式，构建了一个以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学术垃圾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为核心内容的虚拟发表平台。这些被戏称为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的账号迅速吸引大量用户参与投稿与互动，形成独特的圈层文化，其影响溢出学术圈，演变为一场流行文化现象</w:t>
      </w:r>
      <w:r w:rsidRPr="00DE3CA0">
        <w:rPr>
          <w:rFonts w:ascii="Times New Roman" w:eastAsia="黑体" w:hAnsi="Times New Roman" w:cs="Times New Roman"/>
          <w:sz w:val="24"/>
          <w:szCs w:val="24"/>
        </w:rPr>
        <w:t>[1-3]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</w:t>
      </w:r>
    </w:p>
    <w:p w14:paraId="0DA8FBED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从亚文化研究视角看，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现象并非孤立事件。近年来，青年群体在数字平台上不断创造新的文化表达形式，从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发疯文学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废话文学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到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学术锦鲤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转发，均体现出对主流话语体系的戏谑与解构倾向</w:t>
      </w:r>
      <w:r w:rsidRPr="00DE3CA0">
        <w:rPr>
          <w:rFonts w:ascii="Times New Roman" w:eastAsia="黑体" w:hAnsi="Times New Roman" w:cs="Times New Roman"/>
          <w:sz w:val="24"/>
          <w:szCs w:val="24"/>
        </w:rPr>
        <w:t>[4]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的特殊之处在于，其直接瞄准学术这一高度专业化的领域，通过对学术规范的系统性戏仿，构建了一个包容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失败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、消解权威的赛博空间。</w:t>
      </w:r>
    </w:p>
    <w:p w14:paraId="61E9FCCD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然而，现有研究多为现象描述或个案分析，缺乏对这一新兴文化现象的系统整合与理论提炼。本研究采用系统综述与</w:t>
      </w:r>
      <w:r w:rsidRPr="00DE3CA0">
        <w:rPr>
          <w:rFonts w:ascii="Times New Roman" w:eastAsia="黑体" w:hAnsi="Times New Roman" w:cs="Times New Roman"/>
          <w:sz w:val="24"/>
          <w:szCs w:val="24"/>
        </w:rPr>
        <w:t>meta</w:t>
      </w:r>
      <w:r w:rsidRPr="00DE3CA0">
        <w:rPr>
          <w:rFonts w:ascii="Times New Roman" w:eastAsia="黑体" w:hAnsi="Times New Roman" w:cs="Times New Roman"/>
          <w:sz w:val="24"/>
          <w:szCs w:val="24"/>
        </w:rPr>
        <w:t>分析方法，整合小红书平台及相关媒体报道中关于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现象的原始资料，旨在：（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）系统梳理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现象的运作模式与文化特征；（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2</w:t>
      </w:r>
      <w:r w:rsidRPr="00DE3CA0">
        <w:rPr>
          <w:rFonts w:ascii="Times New Roman" w:eastAsia="黑体" w:hAnsi="Times New Roman" w:cs="Times New Roman"/>
          <w:sz w:val="24"/>
          <w:szCs w:val="24"/>
        </w:rPr>
        <w:t>）分析其衍生的符号系统与社群互动生态；（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3</w:t>
      </w:r>
      <w:r w:rsidRPr="00DE3CA0">
        <w:rPr>
          <w:rFonts w:ascii="Times New Roman" w:eastAsia="黑体" w:hAnsi="Times New Roman" w:cs="Times New Roman"/>
          <w:sz w:val="24"/>
          <w:szCs w:val="24"/>
        </w:rPr>
        <w:t>）提炼现象背后的社会心理动因与文化意涵，为理解数字时代的青年亚文化提供理论参照。</w:t>
      </w:r>
    </w:p>
    <w:p w14:paraId="158F7269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2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方法</w:t>
      </w:r>
    </w:p>
    <w:p w14:paraId="100DF6D1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2.1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研究设计</w:t>
      </w:r>
    </w:p>
    <w:p w14:paraId="764F7961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本研究采用定性系统综述与</w:t>
      </w:r>
      <w:r w:rsidRPr="00DE3CA0">
        <w:rPr>
          <w:rFonts w:ascii="Times New Roman" w:eastAsia="黑体" w:hAnsi="Times New Roman" w:cs="Times New Roman"/>
          <w:sz w:val="24"/>
          <w:szCs w:val="24"/>
        </w:rPr>
        <w:t>meta</w:t>
      </w:r>
      <w:r w:rsidRPr="00DE3CA0">
        <w:rPr>
          <w:rFonts w:ascii="Times New Roman" w:eastAsia="黑体" w:hAnsi="Times New Roman" w:cs="Times New Roman"/>
          <w:sz w:val="24"/>
          <w:szCs w:val="24"/>
        </w:rPr>
        <w:t>分析方法，遵循</w:t>
      </w:r>
      <w:r w:rsidRPr="00DE3CA0">
        <w:rPr>
          <w:rFonts w:ascii="Times New Roman" w:eastAsia="黑体" w:hAnsi="Times New Roman" w:cs="Times New Roman"/>
          <w:sz w:val="24"/>
          <w:szCs w:val="24"/>
        </w:rPr>
        <w:t>PRISMA</w:t>
      </w:r>
      <w:r w:rsidRPr="00DE3CA0">
        <w:rPr>
          <w:rFonts w:ascii="Times New Roman" w:eastAsia="黑体" w:hAnsi="Times New Roman" w:cs="Times New Roman"/>
          <w:sz w:val="24"/>
          <w:szCs w:val="24"/>
        </w:rPr>
        <w:t>（</w:t>
      </w:r>
      <w:r w:rsidRPr="00DE3CA0">
        <w:rPr>
          <w:rFonts w:ascii="Times New Roman" w:eastAsia="黑体" w:hAnsi="Times New Roman" w:cs="Times New Roman"/>
          <w:sz w:val="24"/>
          <w:szCs w:val="24"/>
        </w:rPr>
        <w:t>Preferred Reporting Items for Systematic Reviews and Meta-Analyses</w:t>
      </w:r>
      <w:r w:rsidRPr="00DE3CA0">
        <w:rPr>
          <w:rFonts w:ascii="Times New Roman" w:eastAsia="黑体" w:hAnsi="Times New Roman" w:cs="Times New Roman"/>
          <w:sz w:val="24"/>
          <w:szCs w:val="24"/>
        </w:rPr>
        <w:t>）声明</w:t>
      </w:r>
      <w:r w:rsidRPr="00DE3CA0">
        <w:rPr>
          <w:rFonts w:ascii="Times New Roman" w:eastAsia="黑体" w:hAnsi="Times New Roman" w:cs="Times New Roman"/>
          <w:sz w:val="24"/>
          <w:szCs w:val="24"/>
        </w:rPr>
        <w:t>[5]</w:t>
      </w:r>
      <w:r w:rsidRPr="00DE3CA0">
        <w:rPr>
          <w:rFonts w:ascii="Times New Roman" w:eastAsia="黑体" w:hAnsi="Times New Roman" w:cs="Times New Roman"/>
          <w:sz w:val="24"/>
          <w:szCs w:val="24"/>
        </w:rPr>
        <w:t>进行报告。</w:t>
      </w:r>
    </w:p>
    <w:p w14:paraId="628B9996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2.2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检索策略</w:t>
      </w:r>
    </w:p>
    <w:p w14:paraId="4DC5FEBB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系统检索小红书平台及相关网络媒体（</w:t>
      </w:r>
      <w:r w:rsidRPr="00DE3CA0">
        <w:rPr>
          <w:rFonts w:ascii="Times New Roman" w:eastAsia="黑体" w:hAnsi="Times New Roman" w:cs="Times New Roman"/>
          <w:sz w:val="24"/>
          <w:szCs w:val="24"/>
        </w:rPr>
        <w:t>2026</w:t>
      </w:r>
      <w:r w:rsidRPr="00DE3CA0">
        <w:rPr>
          <w:rFonts w:ascii="Times New Roman" w:eastAsia="黑体" w:hAnsi="Times New Roman" w:cs="Times New Roman"/>
          <w:sz w:val="24"/>
          <w:szCs w:val="24"/>
        </w:rPr>
        <w:t>年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月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日</w:t>
      </w:r>
      <w:r w:rsidRPr="00DE3CA0">
        <w:rPr>
          <w:rFonts w:ascii="Times New Roman" w:eastAsia="黑体" w:hAnsi="Times New Roman" w:cs="Times New Roman"/>
          <w:sz w:val="24"/>
          <w:szCs w:val="24"/>
        </w:rPr>
        <w:t>—2</w:t>
      </w:r>
      <w:r w:rsidRPr="00DE3CA0">
        <w:rPr>
          <w:rFonts w:ascii="Times New Roman" w:eastAsia="黑体" w:hAnsi="Times New Roman" w:cs="Times New Roman"/>
          <w:sz w:val="24"/>
          <w:szCs w:val="24"/>
        </w:rPr>
        <w:t>月</w:t>
      </w:r>
      <w:r w:rsidRPr="00DE3CA0">
        <w:rPr>
          <w:rFonts w:ascii="Times New Roman" w:eastAsia="黑体" w:hAnsi="Times New Roman" w:cs="Times New Roman"/>
          <w:sz w:val="24"/>
          <w:szCs w:val="24"/>
        </w:rPr>
        <w:t>28</w:t>
      </w:r>
      <w:r w:rsidRPr="00DE3CA0">
        <w:rPr>
          <w:rFonts w:ascii="Times New Roman" w:eastAsia="黑体" w:hAnsi="Times New Roman" w:cs="Times New Roman"/>
          <w:sz w:val="24"/>
          <w:szCs w:val="24"/>
        </w:rPr>
        <w:t>日）。检索关键词包括：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虚拟学术期刊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”“Rubbish</w:t>
      </w:r>
      <w:r w:rsidRPr="00DE3CA0">
        <w:rPr>
          <w:rFonts w:ascii="Times New Roman" w:eastAsia="黑体" w:hAnsi="Times New Roman" w:cs="Times New Roman"/>
          <w:sz w:val="24"/>
          <w:szCs w:val="24"/>
        </w:rPr>
        <w:t>期刊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”“Nothing</w:t>
      </w:r>
      <w:r w:rsidRPr="00DE3CA0">
        <w:rPr>
          <w:rFonts w:ascii="Times New Roman" w:eastAsia="黑体" w:hAnsi="Times New Roman" w:cs="Times New Roman"/>
          <w:sz w:val="24"/>
          <w:szCs w:val="24"/>
        </w:rPr>
        <w:t>期刊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学术垃圾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来稿即发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及其组合。同时采用滚雪球方式，追溯相关报道的引用来源。</w:t>
      </w:r>
    </w:p>
    <w:p w14:paraId="4754A2E8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2.3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纳入与排除标准</w:t>
      </w:r>
    </w:p>
    <w:p w14:paraId="670778A2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纳入标准：</w:t>
      </w:r>
    </w:p>
    <w:p w14:paraId="37011439" w14:textId="14FA7281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· </w:t>
      </w:r>
      <w:r w:rsidRPr="00DE3CA0">
        <w:rPr>
          <w:rFonts w:ascii="Times New Roman" w:eastAsia="黑体" w:hAnsi="Times New Roman" w:cs="Times New Roman"/>
          <w:sz w:val="24"/>
          <w:szCs w:val="24"/>
        </w:rPr>
        <w:t>以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或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虚拟学术期刊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现象为核心议题</w:t>
      </w:r>
    </w:p>
    <w:p w14:paraId="3F71B057" w14:textId="77777777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· </w:t>
      </w:r>
      <w:r w:rsidRPr="00DE3CA0">
        <w:rPr>
          <w:rFonts w:ascii="Times New Roman" w:eastAsia="黑体" w:hAnsi="Times New Roman" w:cs="Times New Roman"/>
          <w:sz w:val="24"/>
          <w:szCs w:val="24"/>
        </w:rPr>
        <w:t>包含对运作模式、文化特征、符号系统或社群互动的实质性描述</w:t>
      </w:r>
    </w:p>
    <w:p w14:paraId="0786C716" w14:textId="77777777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· </w:t>
      </w:r>
      <w:r w:rsidRPr="00DE3CA0">
        <w:rPr>
          <w:rFonts w:ascii="Times New Roman" w:eastAsia="黑体" w:hAnsi="Times New Roman" w:cs="Times New Roman"/>
          <w:sz w:val="24"/>
          <w:szCs w:val="24"/>
        </w:rPr>
        <w:t>信息来源可追溯（明确账号、发布日期或媒体来源）</w:t>
      </w:r>
    </w:p>
    <w:p w14:paraId="6B1B4CFF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· </w:t>
      </w:r>
      <w:r w:rsidRPr="00DE3CA0">
        <w:rPr>
          <w:rFonts w:ascii="Times New Roman" w:eastAsia="黑体" w:hAnsi="Times New Roman" w:cs="Times New Roman"/>
          <w:sz w:val="24"/>
          <w:szCs w:val="24"/>
        </w:rPr>
        <w:t>发表时间为</w:t>
      </w:r>
      <w:r w:rsidRPr="00DE3CA0">
        <w:rPr>
          <w:rFonts w:ascii="Times New Roman" w:eastAsia="黑体" w:hAnsi="Times New Roman" w:cs="Times New Roman"/>
          <w:sz w:val="24"/>
          <w:szCs w:val="24"/>
        </w:rPr>
        <w:t>2026</w:t>
      </w:r>
      <w:r w:rsidRPr="00DE3CA0">
        <w:rPr>
          <w:rFonts w:ascii="Times New Roman" w:eastAsia="黑体" w:hAnsi="Times New Roman" w:cs="Times New Roman"/>
          <w:sz w:val="24"/>
          <w:szCs w:val="24"/>
        </w:rPr>
        <w:t>年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月</w:t>
      </w:r>
      <w:r w:rsidRPr="00DE3CA0">
        <w:rPr>
          <w:rFonts w:ascii="Times New Roman" w:eastAsia="黑体" w:hAnsi="Times New Roman" w:cs="Times New Roman"/>
          <w:sz w:val="24"/>
          <w:szCs w:val="24"/>
        </w:rPr>
        <w:t>—2</w:t>
      </w:r>
      <w:r w:rsidRPr="00DE3CA0">
        <w:rPr>
          <w:rFonts w:ascii="Times New Roman" w:eastAsia="黑体" w:hAnsi="Times New Roman" w:cs="Times New Roman"/>
          <w:sz w:val="24"/>
          <w:szCs w:val="24"/>
        </w:rPr>
        <w:t>月</w:t>
      </w:r>
    </w:p>
    <w:p w14:paraId="079053B9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排除标准：</w:t>
      </w:r>
    </w:p>
    <w:p w14:paraId="58084DFB" w14:textId="1165C056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· </w:t>
      </w:r>
      <w:r w:rsidRPr="00DE3CA0">
        <w:rPr>
          <w:rFonts w:ascii="Times New Roman" w:eastAsia="黑体" w:hAnsi="Times New Roman" w:cs="Times New Roman"/>
          <w:sz w:val="24"/>
          <w:szCs w:val="24"/>
        </w:rPr>
        <w:t>仅为个人情绪表达，无实质内容描述</w:t>
      </w:r>
    </w:p>
    <w:p w14:paraId="51A474E4" w14:textId="77777777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· </w:t>
      </w:r>
      <w:r w:rsidRPr="00DE3CA0">
        <w:rPr>
          <w:rFonts w:ascii="Times New Roman" w:eastAsia="黑体" w:hAnsi="Times New Roman" w:cs="Times New Roman"/>
          <w:sz w:val="24"/>
          <w:szCs w:val="24"/>
        </w:rPr>
        <w:t>重复或高度雷同的内容</w:t>
      </w:r>
    </w:p>
    <w:p w14:paraId="6675EFB7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· </w:t>
      </w:r>
      <w:r w:rsidRPr="00DE3CA0">
        <w:rPr>
          <w:rFonts w:ascii="Times New Roman" w:eastAsia="黑体" w:hAnsi="Times New Roman" w:cs="Times New Roman"/>
          <w:sz w:val="24"/>
          <w:szCs w:val="24"/>
        </w:rPr>
        <w:t>无法确认真实性的信息</w:t>
      </w:r>
    </w:p>
    <w:p w14:paraId="49ED7C28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2.4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文献筛选与数据提取</w:t>
      </w:r>
    </w:p>
    <w:p w14:paraId="21BAFA0A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由两名研究者独立进行文献筛选，分歧通过讨论解决。提取信息包括：来源类型（账号主页</w:t>
      </w:r>
      <w:r w:rsidRPr="00DE3CA0">
        <w:rPr>
          <w:rFonts w:ascii="Times New Roman" w:eastAsia="黑体" w:hAnsi="Times New Roman" w:cs="Times New Roman"/>
          <w:sz w:val="24"/>
          <w:szCs w:val="24"/>
        </w:rPr>
        <w:t>/</w:t>
      </w:r>
      <w:r w:rsidRPr="00DE3CA0">
        <w:rPr>
          <w:rFonts w:ascii="Times New Roman" w:eastAsia="黑体" w:hAnsi="Times New Roman" w:cs="Times New Roman"/>
          <w:sz w:val="24"/>
          <w:szCs w:val="24"/>
        </w:rPr>
        <w:t>媒体报道</w:t>
      </w:r>
      <w:r w:rsidRPr="00DE3CA0">
        <w:rPr>
          <w:rFonts w:ascii="Times New Roman" w:eastAsia="黑体" w:hAnsi="Times New Roman" w:cs="Times New Roman"/>
          <w:sz w:val="24"/>
          <w:szCs w:val="24"/>
        </w:rPr>
        <w:t>/</w:t>
      </w:r>
      <w:r w:rsidRPr="00DE3CA0">
        <w:rPr>
          <w:rFonts w:ascii="Times New Roman" w:eastAsia="黑体" w:hAnsi="Times New Roman" w:cs="Times New Roman"/>
          <w:sz w:val="24"/>
          <w:szCs w:val="24"/>
        </w:rPr>
        <w:t>用户投稿）、期刊名称、核心主张、运作模式描述、黑话术语、评论区互动特征等。</w:t>
      </w:r>
    </w:p>
    <w:p w14:paraId="1870A63C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2.5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质量评估</w:t>
      </w:r>
    </w:p>
    <w:p w14:paraId="5E619C0F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鉴于纳入文献主要为网络原生资料，采用定性研究的质量评估标准</w:t>
      </w:r>
      <w:r w:rsidRPr="00DE3CA0">
        <w:rPr>
          <w:rFonts w:ascii="Times New Roman" w:eastAsia="黑体" w:hAnsi="Times New Roman" w:cs="Times New Roman"/>
          <w:sz w:val="24"/>
          <w:szCs w:val="24"/>
        </w:rPr>
        <w:t>[6]</w:t>
      </w:r>
      <w:r w:rsidRPr="00DE3CA0">
        <w:rPr>
          <w:rFonts w:ascii="Times New Roman" w:eastAsia="黑体" w:hAnsi="Times New Roman" w:cs="Times New Roman"/>
          <w:sz w:val="24"/>
          <w:szCs w:val="24"/>
        </w:rPr>
        <w:t>：信息丰富度（是否提供足够细节）、分析深度（是否呈现多维度特征）、原始性（是否接近现象原貌）。所有纳入资料均达到中等以上质量。</w:t>
      </w:r>
    </w:p>
    <w:p w14:paraId="3D97C85B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2.6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数据分析</w:t>
      </w:r>
    </w:p>
    <w:p w14:paraId="03529104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lastRenderedPageBreak/>
        <w:t>采用主题综合法（</w:t>
      </w:r>
      <w:r w:rsidRPr="00DE3CA0">
        <w:rPr>
          <w:rFonts w:ascii="Times New Roman" w:eastAsia="黑体" w:hAnsi="Times New Roman" w:cs="Times New Roman"/>
          <w:sz w:val="24"/>
          <w:szCs w:val="24"/>
        </w:rPr>
        <w:t>thematic synthesis</w:t>
      </w:r>
      <w:r w:rsidRPr="00DE3CA0">
        <w:rPr>
          <w:rFonts w:ascii="Times New Roman" w:eastAsia="黑体" w:hAnsi="Times New Roman" w:cs="Times New Roman"/>
          <w:sz w:val="24"/>
          <w:szCs w:val="24"/>
        </w:rPr>
        <w:t>）</w:t>
      </w:r>
      <w:r w:rsidRPr="00DE3CA0">
        <w:rPr>
          <w:rFonts w:ascii="Times New Roman" w:eastAsia="黑体" w:hAnsi="Times New Roman" w:cs="Times New Roman"/>
          <w:sz w:val="24"/>
          <w:szCs w:val="24"/>
        </w:rPr>
        <w:t>[7]</w:t>
      </w:r>
      <w:r w:rsidRPr="00DE3CA0">
        <w:rPr>
          <w:rFonts w:ascii="Times New Roman" w:eastAsia="黑体" w:hAnsi="Times New Roman" w:cs="Times New Roman"/>
          <w:sz w:val="24"/>
          <w:szCs w:val="24"/>
        </w:rPr>
        <w:t>进行定性</w:t>
      </w:r>
      <w:r w:rsidRPr="00DE3CA0">
        <w:rPr>
          <w:rFonts w:ascii="Times New Roman" w:eastAsia="黑体" w:hAnsi="Times New Roman" w:cs="Times New Roman"/>
          <w:sz w:val="24"/>
          <w:szCs w:val="24"/>
        </w:rPr>
        <w:t>meta</w:t>
      </w:r>
      <w:r w:rsidRPr="00DE3CA0">
        <w:rPr>
          <w:rFonts w:ascii="Times New Roman" w:eastAsia="黑体" w:hAnsi="Times New Roman" w:cs="Times New Roman"/>
          <w:sz w:val="24"/>
          <w:szCs w:val="24"/>
        </w:rPr>
        <w:t>分析。通过反复阅读原始资料，进行开放编码，形成描述性主题，进而提炼分析性主题，最终整合为系统性框架。</w:t>
      </w:r>
    </w:p>
    <w:p w14:paraId="2A9DCC12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结果</w:t>
      </w:r>
    </w:p>
    <w:p w14:paraId="63AFCD09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3.1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纳入文献特征</w:t>
      </w:r>
    </w:p>
    <w:p w14:paraId="10994F68" w14:textId="7BFC3806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共纳入</w:t>
      </w:r>
      <w:r w:rsidRPr="00DE3CA0">
        <w:rPr>
          <w:rFonts w:ascii="Times New Roman" w:eastAsia="黑体" w:hAnsi="Times New Roman" w:cs="Times New Roman"/>
          <w:sz w:val="24"/>
          <w:szCs w:val="24"/>
        </w:rPr>
        <w:t>17</w:t>
      </w:r>
      <w:r w:rsidRPr="00DE3CA0">
        <w:rPr>
          <w:rFonts w:ascii="Times New Roman" w:eastAsia="黑体" w:hAnsi="Times New Roman" w:cs="Times New Roman"/>
          <w:sz w:val="24"/>
          <w:szCs w:val="24"/>
        </w:rPr>
        <w:t>份文献</w:t>
      </w:r>
      <w:r w:rsidRPr="00DE3CA0">
        <w:rPr>
          <w:rFonts w:ascii="Times New Roman" w:eastAsia="黑体" w:hAnsi="Times New Roman" w:cs="Times New Roman"/>
          <w:sz w:val="24"/>
          <w:szCs w:val="24"/>
        </w:rPr>
        <w:t>/</w:t>
      </w:r>
      <w:r w:rsidRPr="00DE3CA0">
        <w:rPr>
          <w:rFonts w:ascii="Times New Roman" w:eastAsia="黑体" w:hAnsi="Times New Roman" w:cs="Times New Roman"/>
          <w:sz w:val="24"/>
          <w:szCs w:val="24"/>
        </w:rPr>
        <w:t>资料，包括：底刊账号主页（</w:t>
      </w:r>
      <w:r w:rsidRPr="00DE3CA0">
        <w:rPr>
          <w:rFonts w:ascii="Times New Roman" w:eastAsia="黑体" w:hAnsi="Times New Roman" w:cs="Times New Roman"/>
          <w:sz w:val="24"/>
          <w:szCs w:val="24"/>
        </w:rPr>
        <w:t>n=6</w:t>
      </w:r>
      <w:r w:rsidRPr="00DE3CA0">
        <w:rPr>
          <w:rFonts w:ascii="Times New Roman" w:eastAsia="黑体" w:hAnsi="Times New Roman" w:cs="Times New Roman"/>
          <w:sz w:val="24"/>
          <w:szCs w:val="24"/>
        </w:rPr>
        <w:t>，如《</w:t>
      </w:r>
      <w:r w:rsidRPr="00DE3CA0">
        <w:rPr>
          <w:rFonts w:ascii="Times New Roman" w:eastAsia="黑体" w:hAnsi="Times New Roman" w:cs="Times New Roman"/>
          <w:sz w:val="24"/>
          <w:szCs w:val="24"/>
        </w:rPr>
        <w:t>Rubbish</w:t>
      </w:r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r w:rsidRPr="00DE3CA0">
        <w:rPr>
          <w:rFonts w:ascii="Times New Roman" w:eastAsia="黑体" w:hAnsi="Times New Roman" w:cs="Times New Roman"/>
          <w:sz w:val="24"/>
          <w:szCs w:val="24"/>
        </w:rPr>
        <w:t>Litter</w:t>
      </w:r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r w:rsidRPr="00DE3CA0">
        <w:rPr>
          <w:rFonts w:ascii="Times New Roman" w:eastAsia="黑体" w:hAnsi="Times New Roman" w:cs="Times New Roman"/>
          <w:sz w:val="24"/>
          <w:szCs w:val="24"/>
        </w:rPr>
        <w:t>Nothing</w:t>
      </w:r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proofErr w:type="spellStart"/>
      <w:r w:rsidRPr="00DE3CA0">
        <w:rPr>
          <w:rFonts w:ascii="Times New Roman" w:eastAsia="黑体" w:hAnsi="Times New Roman" w:cs="Times New Roman"/>
          <w:sz w:val="24"/>
          <w:szCs w:val="24"/>
        </w:rPr>
        <w:t>Notrue</w:t>
      </w:r>
      <w:proofErr w:type="spellEnd"/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r w:rsidRPr="00DE3CA0">
        <w:rPr>
          <w:rFonts w:ascii="Times New Roman" w:eastAsia="黑体" w:hAnsi="Times New Roman" w:cs="Times New Roman"/>
          <w:sz w:val="24"/>
          <w:szCs w:val="24"/>
        </w:rPr>
        <w:t>Silence</w:t>
      </w:r>
      <w:r w:rsidRPr="00DE3CA0">
        <w:rPr>
          <w:rFonts w:ascii="Times New Roman" w:eastAsia="黑体" w:hAnsi="Times New Roman" w:cs="Times New Roman"/>
          <w:sz w:val="24"/>
          <w:szCs w:val="24"/>
        </w:rPr>
        <w:t>》《</w:t>
      </w:r>
      <w:r w:rsidR="00807411">
        <w:rPr>
          <w:rFonts w:ascii="Times New Roman" w:eastAsia="黑体" w:hAnsi="Times New Roman" w:cs="Times New Roman"/>
          <w:sz w:val="24"/>
          <w:szCs w:val="24"/>
        </w:rPr>
        <w:t>The nonsense</w:t>
      </w:r>
      <w:r w:rsidRPr="00DE3CA0">
        <w:rPr>
          <w:rFonts w:ascii="Times New Roman" w:eastAsia="黑体" w:hAnsi="Times New Roman" w:cs="Times New Roman"/>
          <w:sz w:val="24"/>
          <w:szCs w:val="24"/>
        </w:rPr>
        <w:t>》）、媒体报道（</w:t>
      </w:r>
      <w:r w:rsidRPr="00DE3CA0">
        <w:rPr>
          <w:rFonts w:ascii="Times New Roman" w:eastAsia="黑体" w:hAnsi="Times New Roman" w:cs="Times New Roman"/>
          <w:sz w:val="24"/>
          <w:szCs w:val="24"/>
        </w:rPr>
        <w:t>n=5</w:t>
      </w:r>
      <w:r w:rsidRPr="00DE3CA0">
        <w:rPr>
          <w:rFonts w:ascii="Times New Roman" w:eastAsia="黑体" w:hAnsi="Times New Roman" w:cs="Times New Roman"/>
          <w:sz w:val="24"/>
          <w:szCs w:val="24"/>
        </w:rPr>
        <w:t>，如中州期刊联盟、中新经纬等）、用户投稿样本（</w:t>
      </w:r>
      <w:r w:rsidRPr="00DE3CA0">
        <w:rPr>
          <w:rFonts w:ascii="Times New Roman" w:eastAsia="黑体" w:hAnsi="Times New Roman" w:cs="Times New Roman"/>
          <w:sz w:val="24"/>
          <w:szCs w:val="24"/>
        </w:rPr>
        <w:t>n=4</w:t>
      </w:r>
      <w:r w:rsidRPr="00DE3CA0">
        <w:rPr>
          <w:rFonts w:ascii="Times New Roman" w:eastAsia="黑体" w:hAnsi="Times New Roman" w:cs="Times New Roman"/>
          <w:sz w:val="24"/>
          <w:szCs w:val="24"/>
        </w:rPr>
        <w:t>）、评论区互动记录（</w:t>
      </w:r>
      <w:r w:rsidRPr="00DE3CA0">
        <w:rPr>
          <w:rFonts w:ascii="Times New Roman" w:eastAsia="黑体" w:hAnsi="Times New Roman" w:cs="Times New Roman"/>
          <w:sz w:val="24"/>
          <w:szCs w:val="24"/>
        </w:rPr>
        <w:t>n=2</w:t>
      </w:r>
      <w:r w:rsidRPr="00DE3CA0">
        <w:rPr>
          <w:rFonts w:ascii="Times New Roman" w:eastAsia="黑体" w:hAnsi="Times New Roman" w:cs="Times New Roman"/>
          <w:sz w:val="24"/>
          <w:szCs w:val="24"/>
        </w:rPr>
        <w:t>）。纳入资料基本特征见表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。</w:t>
      </w:r>
    </w:p>
    <w:p w14:paraId="4FD4026C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表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1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纳入主要底刊账号的基本特征</w:t>
      </w:r>
    </w:p>
    <w:p w14:paraId="08A8A6ED" w14:textId="6487FBCE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期刊名称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核心主张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收录内容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特色标签</w:t>
      </w:r>
    </w:p>
    <w:p w14:paraId="491897A2" w14:textId="77777777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r w:rsidRPr="00DE3CA0">
        <w:rPr>
          <w:rFonts w:ascii="Times New Roman" w:eastAsia="黑体" w:hAnsi="Times New Roman" w:cs="Times New Roman"/>
          <w:sz w:val="24"/>
          <w:szCs w:val="24"/>
        </w:rPr>
        <w:t>Rubbish</w:t>
      </w:r>
      <w:r w:rsidRPr="00DE3CA0">
        <w:rPr>
          <w:rFonts w:ascii="Times New Roman" w:eastAsia="黑体" w:hAnsi="Times New Roman" w:cs="Times New Roman"/>
          <w:sz w:val="24"/>
          <w:szCs w:val="24"/>
        </w:rPr>
        <w:t>》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收纳学术边角料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被拒论文、失败实验、被毙开题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学术垃圾</w:t>
      </w:r>
    </w:p>
    <w:p w14:paraId="4F7DEAE8" w14:textId="77777777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r w:rsidRPr="00DE3CA0">
        <w:rPr>
          <w:rFonts w:ascii="Times New Roman" w:eastAsia="黑体" w:hAnsi="Times New Roman" w:cs="Times New Roman"/>
          <w:sz w:val="24"/>
          <w:szCs w:val="24"/>
        </w:rPr>
        <w:t>Litter</w:t>
      </w:r>
      <w:r w:rsidRPr="00DE3CA0">
        <w:rPr>
          <w:rFonts w:ascii="Times New Roman" w:eastAsia="黑体" w:hAnsi="Times New Roman" w:cs="Times New Roman"/>
          <w:sz w:val="24"/>
          <w:szCs w:val="24"/>
        </w:rPr>
        <w:t>》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追求负数影响因子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任何失败的实验或无用科研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失败学</w:t>
      </w:r>
    </w:p>
    <w:p w14:paraId="2CA9A3F1" w14:textId="77777777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r w:rsidRPr="00DE3CA0">
        <w:rPr>
          <w:rFonts w:ascii="Times New Roman" w:eastAsia="黑体" w:hAnsi="Times New Roman" w:cs="Times New Roman"/>
          <w:sz w:val="24"/>
          <w:szCs w:val="24"/>
        </w:rPr>
        <w:t>Nothing</w:t>
      </w:r>
      <w:r w:rsidRPr="00DE3CA0">
        <w:rPr>
          <w:rFonts w:ascii="Times New Roman" w:eastAsia="黑体" w:hAnsi="Times New Roman" w:cs="Times New Roman"/>
          <w:sz w:val="24"/>
          <w:szCs w:val="24"/>
        </w:rPr>
        <w:t>》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诚实无欺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没有任何贡献的研究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摆烂学</w:t>
      </w:r>
    </w:p>
    <w:p w14:paraId="03033058" w14:textId="77777777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proofErr w:type="spellStart"/>
      <w:r w:rsidRPr="00DE3CA0">
        <w:rPr>
          <w:rFonts w:ascii="Times New Roman" w:eastAsia="黑体" w:hAnsi="Times New Roman" w:cs="Times New Roman"/>
          <w:sz w:val="24"/>
          <w:szCs w:val="24"/>
        </w:rPr>
        <w:t>Notrue</w:t>
      </w:r>
      <w:proofErr w:type="spellEnd"/>
      <w:r w:rsidRPr="00DE3CA0">
        <w:rPr>
          <w:rFonts w:ascii="Times New Roman" w:eastAsia="黑体" w:hAnsi="Times New Roman" w:cs="Times New Roman"/>
          <w:sz w:val="24"/>
          <w:szCs w:val="24"/>
        </w:rPr>
        <w:t>》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拒绝创新价值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逻辑牵强、数据鸡肋的文章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伪科学</w:t>
      </w:r>
    </w:p>
    <w:p w14:paraId="2C6240A4" w14:textId="77777777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r w:rsidRPr="00DE3CA0">
        <w:rPr>
          <w:rFonts w:ascii="Times New Roman" w:eastAsia="黑体" w:hAnsi="Times New Roman" w:cs="Times New Roman"/>
          <w:sz w:val="24"/>
          <w:szCs w:val="24"/>
        </w:rPr>
        <w:t>Silence</w:t>
      </w:r>
      <w:r w:rsidRPr="00DE3CA0">
        <w:rPr>
          <w:rFonts w:ascii="Times New Roman" w:eastAsia="黑体" w:hAnsi="Times New Roman" w:cs="Times New Roman"/>
          <w:sz w:val="24"/>
          <w:szCs w:val="24"/>
        </w:rPr>
        <w:t>》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无言之美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任何无需言说的内容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沉默是金</w:t>
      </w:r>
    </w:p>
    <w:p w14:paraId="7884D7AB" w14:textId="5389DFEB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r w:rsidR="00807411">
        <w:rPr>
          <w:rFonts w:ascii="Times New Roman" w:eastAsia="黑体" w:hAnsi="Times New Roman" w:cs="Times New Roman"/>
          <w:sz w:val="24"/>
          <w:szCs w:val="24"/>
        </w:rPr>
        <w:t>The nonsense</w:t>
      </w:r>
      <w:r w:rsidRPr="00DE3CA0">
        <w:rPr>
          <w:rFonts w:ascii="Times New Roman" w:eastAsia="黑体" w:hAnsi="Times New Roman" w:cs="Times New Roman"/>
          <w:sz w:val="24"/>
          <w:szCs w:val="24"/>
        </w:rPr>
        <w:t>》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解构严肃学术姿态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人文社科类的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失败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成果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E3CA0">
        <w:rPr>
          <w:rFonts w:ascii="Times New Roman" w:eastAsia="黑体" w:hAnsi="Times New Roman" w:cs="Times New Roman"/>
          <w:sz w:val="24"/>
          <w:szCs w:val="24"/>
        </w:rPr>
        <w:t>人文学术</w:t>
      </w:r>
    </w:p>
    <w:p w14:paraId="50F764BE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主题综合结果</w:t>
      </w:r>
    </w:p>
    <w:p w14:paraId="6ED8992B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通过主题综合，提炼出三个核心主题：（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）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运作模式与文化内核；（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2</w:t>
      </w:r>
      <w:r w:rsidRPr="00DE3CA0">
        <w:rPr>
          <w:rFonts w:ascii="Times New Roman" w:eastAsia="黑体" w:hAnsi="Times New Roman" w:cs="Times New Roman"/>
          <w:sz w:val="24"/>
          <w:szCs w:val="24"/>
        </w:rPr>
        <w:t>）黑话系统与身份认同；（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3</w:t>
      </w:r>
      <w:r w:rsidRPr="00DE3CA0">
        <w:rPr>
          <w:rFonts w:ascii="Times New Roman" w:eastAsia="黑体" w:hAnsi="Times New Roman" w:cs="Times New Roman"/>
          <w:sz w:val="24"/>
          <w:szCs w:val="24"/>
        </w:rPr>
        <w:t>）评论区生态与社交秩序。每个主题下包含若干子主题。</w:t>
      </w:r>
    </w:p>
    <w:p w14:paraId="6C1BBD91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3.2.1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主题一：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运作模式与文化内核</w:t>
      </w:r>
    </w:p>
    <w:p w14:paraId="7B6B3B12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3.2.1.1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高包容度的发表机制</w:t>
      </w:r>
    </w:p>
    <w:p w14:paraId="57717127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纳入资料一致显示，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最核心的运作特征是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来稿即发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。《</w:t>
      </w:r>
      <w:r w:rsidRPr="00DE3CA0">
        <w:rPr>
          <w:rFonts w:ascii="Times New Roman" w:eastAsia="黑体" w:hAnsi="Times New Roman" w:cs="Times New Roman"/>
          <w:sz w:val="24"/>
          <w:szCs w:val="24"/>
        </w:rPr>
        <w:t>Rubbish</w:t>
      </w:r>
      <w:r w:rsidRPr="00DE3CA0">
        <w:rPr>
          <w:rFonts w:ascii="Times New Roman" w:eastAsia="黑体" w:hAnsi="Times New Roman" w:cs="Times New Roman"/>
          <w:sz w:val="24"/>
          <w:szCs w:val="24"/>
        </w:rPr>
        <w:t>》期刊明确表示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录用标准：够水就行</w:t>
      </w:r>
      <w:r w:rsidRPr="00DE3CA0">
        <w:rPr>
          <w:rFonts w:ascii="Times New Roman" w:eastAsia="黑体" w:hAnsi="Times New Roman" w:cs="Times New Roman"/>
          <w:sz w:val="24"/>
          <w:szCs w:val="24"/>
        </w:rPr>
        <w:t>”[1]</w:t>
      </w:r>
      <w:r w:rsidRPr="00DE3CA0">
        <w:rPr>
          <w:rFonts w:ascii="Times New Roman" w:eastAsia="黑体" w:hAnsi="Times New Roman" w:cs="Times New Roman"/>
          <w:sz w:val="24"/>
          <w:szCs w:val="24"/>
        </w:rPr>
        <w:t>；《</w:t>
      </w:r>
      <w:r w:rsidRPr="00DE3CA0">
        <w:rPr>
          <w:rFonts w:ascii="Times New Roman" w:eastAsia="黑体" w:hAnsi="Times New Roman" w:cs="Times New Roman"/>
          <w:sz w:val="24"/>
          <w:szCs w:val="24"/>
        </w:rPr>
        <w:t>Litter</w:t>
      </w:r>
      <w:r w:rsidRPr="00DE3CA0">
        <w:rPr>
          <w:rFonts w:ascii="Times New Roman" w:eastAsia="黑体" w:hAnsi="Times New Roman" w:cs="Times New Roman"/>
          <w:sz w:val="24"/>
          <w:szCs w:val="24"/>
        </w:rPr>
        <w:t>》提出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审稿原则：为爱发电</w:t>
      </w:r>
      <w:r w:rsidRPr="00DE3CA0">
        <w:rPr>
          <w:rFonts w:ascii="Times New Roman" w:eastAsia="黑体" w:hAnsi="Times New Roman" w:cs="Times New Roman"/>
          <w:sz w:val="24"/>
          <w:szCs w:val="24"/>
        </w:rPr>
        <w:t>”[2]</w:t>
      </w:r>
      <w:r w:rsidRPr="00DE3CA0">
        <w:rPr>
          <w:rFonts w:ascii="Times New Roman" w:eastAsia="黑体" w:hAnsi="Times New Roman" w:cs="Times New Roman"/>
          <w:sz w:val="24"/>
          <w:szCs w:val="24"/>
        </w:rPr>
        <w:t>；《</w:t>
      </w:r>
      <w:proofErr w:type="spellStart"/>
      <w:r w:rsidRPr="00DE3CA0">
        <w:rPr>
          <w:rFonts w:ascii="Times New Roman" w:eastAsia="黑体" w:hAnsi="Times New Roman" w:cs="Times New Roman"/>
          <w:sz w:val="24"/>
          <w:szCs w:val="24"/>
        </w:rPr>
        <w:t>Notrue</w:t>
      </w:r>
      <w:proofErr w:type="spellEnd"/>
      <w:r w:rsidRPr="00DE3CA0">
        <w:rPr>
          <w:rFonts w:ascii="Times New Roman" w:eastAsia="黑体" w:hAnsi="Times New Roman" w:cs="Times New Roman"/>
          <w:sz w:val="24"/>
          <w:szCs w:val="24"/>
        </w:rPr>
        <w:t>》则宣称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无需外审，投稿即录用</w:t>
      </w:r>
      <w:r w:rsidRPr="00DE3CA0">
        <w:rPr>
          <w:rFonts w:ascii="Times New Roman" w:eastAsia="黑体" w:hAnsi="Times New Roman" w:cs="Times New Roman"/>
          <w:sz w:val="24"/>
          <w:szCs w:val="24"/>
        </w:rPr>
        <w:t>”[3]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。这种高度自由化的审稿流程，与传统学术期刊的严苛审稿形成鲜明反差，构成了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吸引参与者的首要因素。</w:t>
      </w:r>
    </w:p>
    <w:p w14:paraId="71E47D50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3.2.1.2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对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学术失败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的重新赋权</w:t>
      </w:r>
    </w:p>
    <w:p w14:paraId="0881EF37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各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均以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失败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为核心内容。《</w:t>
      </w:r>
      <w:r w:rsidRPr="00DE3CA0">
        <w:rPr>
          <w:rFonts w:ascii="Times New Roman" w:eastAsia="黑体" w:hAnsi="Times New Roman" w:cs="Times New Roman"/>
          <w:sz w:val="24"/>
          <w:szCs w:val="24"/>
        </w:rPr>
        <w:t>Rubbish</w:t>
      </w:r>
      <w:r w:rsidRPr="00DE3CA0">
        <w:rPr>
          <w:rFonts w:ascii="Times New Roman" w:eastAsia="黑体" w:hAnsi="Times New Roman" w:cs="Times New Roman"/>
          <w:sz w:val="24"/>
          <w:szCs w:val="24"/>
        </w:rPr>
        <w:t>》欢迎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十轮外审被拒的论文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像熊猫脸的</w:t>
      </w:r>
      <w:r w:rsidRPr="00DE3CA0">
        <w:rPr>
          <w:rFonts w:ascii="Times New Roman" w:eastAsia="黑体" w:hAnsi="Times New Roman" w:cs="Times New Roman"/>
          <w:sz w:val="24"/>
          <w:szCs w:val="24"/>
        </w:rPr>
        <w:t>WB</w:t>
      </w:r>
      <w:r w:rsidRPr="00DE3CA0">
        <w:rPr>
          <w:rFonts w:ascii="Times New Roman" w:eastAsia="黑体" w:hAnsi="Times New Roman" w:cs="Times New Roman"/>
          <w:sz w:val="24"/>
          <w:szCs w:val="24"/>
        </w:rPr>
        <w:t>实验结果</w:t>
      </w:r>
      <w:r w:rsidRPr="00DE3CA0">
        <w:rPr>
          <w:rFonts w:ascii="Times New Roman" w:eastAsia="黑体" w:hAnsi="Times New Roman" w:cs="Times New Roman"/>
          <w:sz w:val="24"/>
          <w:szCs w:val="24"/>
        </w:rPr>
        <w:t>”[1]</w:t>
      </w:r>
      <w:r w:rsidRPr="00DE3CA0">
        <w:rPr>
          <w:rFonts w:ascii="Times New Roman" w:eastAsia="黑体" w:hAnsi="Times New Roman" w:cs="Times New Roman"/>
          <w:sz w:val="24"/>
          <w:szCs w:val="24"/>
        </w:rPr>
        <w:t>；《</w:t>
      </w:r>
      <w:r w:rsidRPr="00DE3CA0">
        <w:rPr>
          <w:rFonts w:ascii="Times New Roman" w:eastAsia="黑体" w:hAnsi="Times New Roman" w:cs="Times New Roman"/>
          <w:sz w:val="24"/>
          <w:szCs w:val="24"/>
        </w:rPr>
        <w:t>Litter</w:t>
      </w:r>
      <w:r w:rsidRPr="00DE3CA0">
        <w:rPr>
          <w:rFonts w:ascii="Times New Roman" w:eastAsia="黑体" w:hAnsi="Times New Roman" w:cs="Times New Roman"/>
          <w:sz w:val="24"/>
          <w:szCs w:val="24"/>
        </w:rPr>
        <w:t>》追求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负数影响因子</w:t>
      </w:r>
      <w:r w:rsidRPr="00DE3CA0">
        <w:rPr>
          <w:rFonts w:ascii="Times New Roman" w:eastAsia="黑体" w:hAnsi="Times New Roman" w:cs="Times New Roman"/>
          <w:sz w:val="24"/>
          <w:szCs w:val="24"/>
        </w:rPr>
        <w:t>”[2]</w:t>
      </w:r>
      <w:r w:rsidRPr="00DE3CA0">
        <w:rPr>
          <w:rFonts w:ascii="Times New Roman" w:eastAsia="黑体" w:hAnsi="Times New Roman" w:cs="Times New Roman"/>
          <w:sz w:val="24"/>
          <w:szCs w:val="24"/>
        </w:rPr>
        <w:t>；《</w:t>
      </w:r>
      <w:r w:rsidRPr="00DE3CA0">
        <w:rPr>
          <w:rFonts w:ascii="Times New Roman" w:eastAsia="黑体" w:hAnsi="Times New Roman" w:cs="Times New Roman"/>
          <w:sz w:val="24"/>
          <w:szCs w:val="24"/>
        </w:rPr>
        <w:t>Nothing</w:t>
      </w:r>
      <w:r w:rsidRPr="00DE3CA0">
        <w:rPr>
          <w:rFonts w:ascii="Times New Roman" w:eastAsia="黑体" w:hAnsi="Times New Roman" w:cs="Times New Roman"/>
          <w:sz w:val="24"/>
          <w:szCs w:val="24"/>
        </w:rPr>
        <w:t>》允许作者坦然承认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本研究没有任何贡献</w:t>
      </w:r>
      <w:r w:rsidRPr="00DE3CA0">
        <w:rPr>
          <w:rFonts w:ascii="Times New Roman" w:eastAsia="黑体" w:hAnsi="Times New Roman" w:cs="Times New Roman"/>
          <w:sz w:val="24"/>
          <w:szCs w:val="24"/>
        </w:rPr>
        <w:t>”[8]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。这种对失败经验的收纳与赋权，将传统学术体系中无处安放的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学术垃圾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转化为可分享、可发表的合法内容。</w:t>
      </w:r>
    </w:p>
    <w:p w14:paraId="7A172CC0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3.2.1.3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祛魅：对权威体系的戏仿与解构</w:t>
      </w:r>
    </w:p>
    <w:p w14:paraId="772FCC0F" w14:textId="6349E6E1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现象的本质是对传统学术体系的祛魅。《</w:t>
      </w:r>
      <w:r w:rsidR="00807411">
        <w:rPr>
          <w:rFonts w:ascii="Times New Roman" w:eastAsia="黑体" w:hAnsi="Times New Roman" w:cs="Times New Roman"/>
          <w:sz w:val="24"/>
          <w:szCs w:val="24"/>
        </w:rPr>
        <w:t>The nonsense</w:t>
      </w:r>
      <w:r w:rsidRPr="00DE3CA0">
        <w:rPr>
          <w:rFonts w:ascii="Times New Roman" w:eastAsia="黑体" w:hAnsi="Times New Roman" w:cs="Times New Roman"/>
          <w:sz w:val="24"/>
          <w:szCs w:val="24"/>
        </w:rPr>
        <w:t>》的创刊辞揭示其精神内核：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我们调侃的不是某个人，而是那种要求永远严肃、永远创新、永远有意义的学术姿态</w:t>
      </w:r>
      <w:r w:rsidRPr="00DE3CA0">
        <w:rPr>
          <w:rFonts w:ascii="Times New Roman" w:eastAsia="黑体" w:hAnsi="Times New Roman" w:cs="Times New Roman"/>
          <w:sz w:val="24"/>
          <w:szCs w:val="24"/>
        </w:rPr>
        <w:t>”[9]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。参与者通过保留学术形式（摘要、引言、结论）而掏空其严肃内容（填充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香蕉味榴莲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等荒诞选题），制造形式与内容的强烈反差，在笑声中消解学术权威</w:t>
      </w:r>
      <w:r w:rsidRPr="00DE3CA0">
        <w:rPr>
          <w:rFonts w:ascii="Times New Roman" w:eastAsia="黑体" w:hAnsi="Times New Roman" w:cs="Times New Roman"/>
          <w:sz w:val="24"/>
          <w:szCs w:val="24"/>
        </w:rPr>
        <w:t>[10]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</w:t>
      </w:r>
    </w:p>
    <w:p w14:paraId="436F5B63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3.2.2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主题二：黑话系统与身份认同</w:t>
      </w:r>
    </w:p>
    <w:p w14:paraId="1BC0CE4E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3.2.2.1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核心术语：作为身份标识的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黑话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”</w:t>
      </w:r>
    </w:p>
    <w:p w14:paraId="6A874050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文化衍生出一套独特的语言符号系统。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学术垃圾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成为核心术语，既指代投稿内容，也成为参与者的自嘲式身份标签</w:t>
      </w:r>
      <w:r w:rsidRPr="00DE3CA0">
        <w:rPr>
          <w:rFonts w:ascii="Times New Roman" w:eastAsia="黑体" w:hAnsi="Times New Roman" w:cs="Times New Roman"/>
          <w:sz w:val="24"/>
          <w:szCs w:val="24"/>
        </w:rPr>
        <w:t>[11]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来稿即发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则成为对传统学术发表严苛与漫长的讽刺性回应</w:t>
      </w:r>
      <w:r w:rsidRPr="00DE3CA0">
        <w:rPr>
          <w:rFonts w:ascii="Times New Roman" w:eastAsia="黑体" w:hAnsi="Times New Roman" w:cs="Times New Roman"/>
          <w:sz w:val="24"/>
          <w:szCs w:val="24"/>
        </w:rPr>
        <w:t>[12]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。这些黑话的运用，成为区分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圈内人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局外人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的身份标识。</w:t>
      </w:r>
    </w:p>
    <w:p w14:paraId="646CCAEE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3.2.2.2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热梗的挪用与再造</w:t>
      </w:r>
    </w:p>
    <w:p w14:paraId="11021C75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lastRenderedPageBreak/>
        <w:t>参与者还需掌握更广泛的网络热梗方能融入社群。</w:t>
      </w:r>
      <w:r w:rsidRPr="00DE3CA0">
        <w:rPr>
          <w:rFonts w:ascii="Times New Roman" w:eastAsia="黑体" w:hAnsi="Times New Roman" w:cs="Times New Roman"/>
          <w:sz w:val="24"/>
          <w:szCs w:val="24"/>
        </w:rPr>
        <w:t>“xx</w:t>
      </w:r>
      <w:r w:rsidRPr="00DE3CA0">
        <w:rPr>
          <w:rFonts w:ascii="Times New Roman" w:eastAsia="黑体" w:hAnsi="Times New Roman" w:cs="Times New Roman"/>
          <w:sz w:val="24"/>
          <w:szCs w:val="24"/>
        </w:rPr>
        <w:t>刺客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（如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雪糕刺客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）、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我真的会谢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等表达被频繁使用</w:t>
      </w:r>
      <w:r w:rsidRPr="00DE3CA0">
        <w:rPr>
          <w:rFonts w:ascii="Times New Roman" w:eastAsia="黑体" w:hAnsi="Times New Roman" w:cs="Times New Roman"/>
          <w:sz w:val="24"/>
          <w:szCs w:val="24"/>
        </w:rPr>
        <w:t>[13]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。这些热梗的挪用与再造，进一步强化了圈层内部的语言共识与文化认同。</w:t>
      </w:r>
    </w:p>
    <w:p w14:paraId="3F71D7C9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3.2.2.3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基于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共同失败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的情感连接</w:t>
      </w:r>
    </w:p>
    <w:p w14:paraId="21435EC0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黑话系统不仅是一种语言游戏，更是情感连接的媒介。当用户发现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我不是一个人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时，个体的失败羞耻转化为集体的情感共鸣</w:t>
      </w:r>
      <w:r w:rsidRPr="00DE3CA0">
        <w:rPr>
          <w:rFonts w:ascii="Times New Roman" w:eastAsia="黑体" w:hAnsi="Times New Roman" w:cs="Times New Roman"/>
          <w:sz w:val="24"/>
          <w:szCs w:val="24"/>
        </w:rPr>
        <w:t>[10]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。这种基于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共同失败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的身份认同，构成了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社群的情感纽带。</w:t>
      </w:r>
    </w:p>
    <w:p w14:paraId="1E58BAE2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3.2.3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主题三：评论区生态与社交秩序</w:t>
      </w:r>
    </w:p>
    <w:p w14:paraId="7F5BF8C3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3.2.3.1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符号化的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行为艺术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互动</w:t>
      </w:r>
    </w:p>
    <w:p w14:paraId="2AB5E9EB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在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相关内容的评论区，互动演变为高度抽象化的符号行为。用户通过发布无意义的数字、字母组合或特定指令（如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关注我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），完成赛博空间的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打卡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仪式</w:t>
      </w:r>
      <w:r w:rsidRPr="00DE3CA0">
        <w:rPr>
          <w:rFonts w:ascii="Times New Roman" w:eastAsia="黑体" w:hAnsi="Times New Roman" w:cs="Times New Roman"/>
          <w:sz w:val="24"/>
          <w:szCs w:val="24"/>
        </w:rPr>
        <w:t>[14]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。这种互动不指向具体内容，而是纯粹的符号交换。</w:t>
      </w:r>
    </w:p>
    <w:p w14:paraId="47D94A98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3.2.3.2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低门槛社交秩序的构建</w:t>
      </w:r>
    </w:p>
    <w:p w14:paraId="4DF2734D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符号化互动消解了严肃讨论的压力，构建了新型的低门槛社交秩序</w:t>
      </w:r>
      <w:r w:rsidRPr="00DE3CA0">
        <w:rPr>
          <w:rFonts w:ascii="Times New Roman" w:eastAsia="黑体" w:hAnsi="Times New Roman" w:cs="Times New Roman"/>
          <w:sz w:val="24"/>
          <w:szCs w:val="24"/>
        </w:rPr>
        <w:t>[14]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。任何用户无需专业知识、无需深度思考、甚至无需阅读原文，只需发布符号即可参与集体狂欢。这种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零门槛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参与，使每个人都能轻松融入社群。</w:t>
      </w:r>
    </w:p>
    <w:p w14:paraId="0F3CD36A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3.2.3.3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从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交流内容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到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交流行为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的意义转移</w:t>
      </w:r>
    </w:p>
    <w:p w14:paraId="7CC5B207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当交流的内容被掏空，交流这一行为本身便成为意义</w:t>
      </w:r>
      <w:r w:rsidRPr="00DE3CA0">
        <w:rPr>
          <w:rFonts w:ascii="Times New Roman" w:eastAsia="黑体" w:hAnsi="Times New Roman" w:cs="Times New Roman"/>
          <w:sz w:val="24"/>
          <w:szCs w:val="24"/>
        </w:rPr>
        <w:t>[15]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。符号互动的本质是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我在这里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我参与游戏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的在场宣告，类似于原始部落的集体舞蹈</w:t>
      </w:r>
      <w:r w:rsidRPr="00DE3CA0">
        <w:rPr>
          <w:rFonts w:ascii="Times New Roman" w:eastAsia="黑体" w:hAnsi="Times New Roman" w:cs="Times New Roman"/>
          <w:sz w:val="24"/>
          <w:szCs w:val="24"/>
        </w:rPr>
        <w:t>——</w:t>
      </w:r>
      <w:r w:rsidRPr="00DE3CA0">
        <w:rPr>
          <w:rFonts w:ascii="Times New Roman" w:eastAsia="黑体" w:hAnsi="Times New Roman" w:cs="Times New Roman"/>
          <w:sz w:val="24"/>
          <w:szCs w:val="24"/>
        </w:rPr>
        <w:t>舞步不传递信息，但共同的舞动强化成员归属感。</w:t>
      </w:r>
    </w:p>
    <w:p w14:paraId="3E69923D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3.3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敏感性分析与发表偏倚</w:t>
      </w:r>
    </w:p>
    <w:p w14:paraId="13F8EA5C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鉴于纳入资料主要为网络原生内容，存在一定选择性偏倚风险（媒体报道可能倾向于关注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吸睛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角度）。但不同来源（账号主页、用户投稿、媒体报道）的核心描述高度一致，增强了研究结果的稳健性。敏感性分析排除任一主要来源后，核心主题未发生实质性改变。</w:t>
      </w:r>
    </w:p>
    <w:p w14:paraId="5B1F64DF" w14:textId="77777777" w:rsidR="008851E8" w:rsidRPr="00DE3CA0" w:rsidRDefault="008851E8">
      <w:pPr>
        <w:rPr>
          <w:rFonts w:ascii="Times New Roman" w:eastAsia="黑体" w:hAnsi="Times New Roman" w:cs="Times New Roman"/>
          <w:sz w:val="24"/>
          <w:szCs w:val="24"/>
        </w:rPr>
      </w:pPr>
    </w:p>
    <w:p w14:paraId="6A87D950" w14:textId="51AFAA26" w:rsidR="008851E8" w:rsidRPr="00DE3CA0" w:rsidRDefault="008851E8">
      <w:pPr>
        <w:rPr>
          <w:rFonts w:ascii="Times New Roman" w:eastAsia="黑体" w:hAnsi="Times New Roman" w:cs="Times New Roman"/>
          <w:sz w:val="24"/>
          <w:szCs w:val="24"/>
        </w:rPr>
      </w:pPr>
    </w:p>
    <w:p w14:paraId="7BF3F646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4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讨论</w:t>
      </w:r>
    </w:p>
    <w:p w14:paraId="673AB50C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4.1 “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现象的亚文化定位：从抵抗到解构</w:t>
      </w:r>
    </w:p>
    <w:p w14:paraId="0DBAEA92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本研究的核心发现是，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现象标志着青年亚文化从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抵抗式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向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解构式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的转向。经典亚文化理论（如伯明翰学派）强调亚文化通过风格化抵抗挑战主流秩序</w:t>
      </w:r>
      <w:r w:rsidRPr="00DE3CA0">
        <w:rPr>
          <w:rFonts w:ascii="Times New Roman" w:eastAsia="黑体" w:hAnsi="Times New Roman" w:cs="Times New Roman"/>
          <w:sz w:val="24"/>
          <w:szCs w:val="24"/>
        </w:rPr>
        <w:t>[16]</w:t>
      </w:r>
      <w:r w:rsidRPr="00DE3CA0">
        <w:rPr>
          <w:rFonts w:ascii="Times New Roman" w:eastAsia="黑体" w:hAnsi="Times New Roman" w:cs="Times New Roman"/>
          <w:sz w:val="24"/>
          <w:szCs w:val="24"/>
        </w:rPr>
        <w:t>；而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文化不再试图建立对抗性价值体系，而是以戏谑方式消解权威的光环，以笑声替代严肃批判。</w:t>
      </w:r>
    </w:p>
    <w:p w14:paraId="7642EB14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这一转向与后现代文化逻辑高度契合。正如鲍德里亚所言，后现代社会特征是符号的自我指涉与意义的消解</w:t>
      </w:r>
      <w:r w:rsidRPr="00DE3CA0">
        <w:rPr>
          <w:rFonts w:ascii="Times New Roman" w:eastAsia="黑体" w:hAnsi="Times New Roman" w:cs="Times New Roman"/>
          <w:sz w:val="24"/>
          <w:szCs w:val="24"/>
        </w:rPr>
        <w:t>[17]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参与者不追求颠覆学术体系，而是通过戏仿制造狂欢空间，在其中暂时摆脱评价体系的束缚。这种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不求改变世界，只求片刻喘息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的姿态，正是数字时代青年亚文化的典型特征。</w:t>
      </w:r>
    </w:p>
    <w:p w14:paraId="6456AFFF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4.2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学术祛魅的社会心理动因</w:t>
      </w:r>
    </w:p>
    <w:p w14:paraId="69D5794C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现象的爆发，植根于当代青年学者的多重困境。学术内卷压力、核心期刊发表焦虑、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非升即走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体制下的身心俱疲，构成了参与者的共同背景</w:t>
      </w:r>
      <w:r w:rsidRPr="00DE3CA0">
        <w:rPr>
          <w:rFonts w:ascii="Times New Roman" w:eastAsia="黑体" w:hAnsi="Times New Roman" w:cs="Times New Roman"/>
          <w:sz w:val="24"/>
          <w:szCs w:val="24"/>
        </w:rPr>
        <w:t>[1]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。在这一语境下，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提供了三重心理功能：</w:t>
      </w:r>
    </w:p>
    <w:p w14:paraId="0A9CC165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其一，情绪宣泄功能</w:t>
      </w:r>
      <w:r w:rsidRPr="00DE3CA0">
        <w:rPr>
          <w:rFonts w:ascii="Times New Roman" w:eastAsia="黑体" w:hAnsi="Times New Roman" w:cs="Times New Roman"/>
          <w:sz w:val="24"/>
          <w:szCs w:val="24"/>
        </w:rPr>
        <w:t>——</w:t>
      </w:r>
      <w:r w:rsidRPr="00DE3CA0">
        <w:rPr>
          <w:rFonts w:ascii="Times New Roman" w:eastAsia="黑体" w:hAnsi="Times New Roman" w:cs="Times New Roman"/>
          <w:sz w:val="24"/>
          <w:szCs w:val="24"/>
        </w:rPr>
        <w:t>通过自嘲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学术垃圾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，释放被压抑的挫败感。其二，意义重建功能</w:t>
      </w:r>
      <w:r w:rsidRPr="00DE3CA0">
        <w:rPr>
          <w:rFonts w:ascii="Times New Roman" w:eastAsia="黑体" w:hAnsi="Times New Roman" w:cs="Times New Roman"/>
          <w:sz w:val="24"/>
          <w:szCs w:val="24"/>
        </w:rPr>
        <w:t>——</w:t>
      </w:r>
      <w:r w:rsidRPr="00DE3CA0">
        <w:rPr>
          <w:rFonts w:ascii="Times New Roman" w:eastAsia="黑体" w:hAnsi="Times New Roman" w:cs="Times New Roman"/>
          <w:sz w:val="24"/>
          <w:szCs w:val="24"/>
        </w:rPr>
        <w:t>将传统体系否定的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失败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重新定义为可分享的经验，恢复其意义</w:t>
      </w:r>
      <w:r w:rsidRPr="00DE3CA0">
        <w:rPr>
          <w:rFonts w:ascii="Times New Roman" w:eastAsia="黑体" w:hAnsi="Times New Roman" w:cs="Times New Roman"/>
          <w:sz w:val="24"/>
          <w:szCs w:val="24"/>
        </w:rPr>
        <w:t>[10]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。其三，社会支持功能</w:t>
      </w:r>
      <w:r w:rsidRPr="00DE3CA0">
        <w:rPr>
          <w:rFonts w:ascii="Times New Roman" w:eastAsia="黑体" w:hAnsi="Times New Roman" w:cs="Times New Roman"/>
          <w:sz w:val="24"/>
          <w:szCs w:val="24"/>
        </w:rPr>
        <w:t>——</w:t>
      </w:r>
      <w:r w:rsidRPr="00DE3CA0">
        <w:rPr>
          <w:rFonts w:ascii="Times New Roman" w:eastAsia="黑体" w:hAnsi="Times New Roman" w:cs="Times New Roman"/>
          <w:sz w:val="24"/>
          <w:szCs w:val="24"/>
        </w:rPr>
        <w:t>在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共同失败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的共鸣中获得情感慰藉，缓解个体</w:t>
      </w:r>
      <w:r w:rsidRPr="00DE3CA0">
        <w:rPr>
          <w:rFonts w:ascii="Times New Roman" w:eastAsia="黑体" w:hAnsi="Times New Roman" w:cs="Times New Roman"/>
          <w:sz w:val="24"/>
          <w:szCs w:val="24"/>
        </w:rPr>
        <w:lastRenderedPageBreak/>
        <w:t>的孤立感</w:t>
      </w:r>
      <w:r w:rsidRPr="00DE3CA0">
        <w:rPr>
          <w:rFonts w:ascii="Times New Roman" w:eastAsia="黑体" w:hAnsi="Times New Roman" w:cs="Times New Roman"/>
          <w:sz w:val="24"/>
          <w:szCs w:val="24"/>
        </w:rPr>
        <w:t>[18]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</w:t>
      </w:r>
    </w:p>
    <w:p w14:paraId="2503049B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4.3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黑话与评论区互动的社交逻辑</w:t>
      </w:r>
    </w:p>
    <w:p w14:paraId="13395C5D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本研究发现，黑话系统与评论区符号互动共同构建了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社群的社交逻辑。从社会认同理论</w:t>
      </w:r>
      <w:r w:rsidRPr="00DE3CA0">
        <w:rPr>
          <w:rFonts w:ascii="Times New Roman" w:eastAsia="黑体" w:hAnsi="Times New Roman" w:cs="Times New Roman"/>
          <w:sz w:val="24"/>
          <w:szCs w:val="24"/>
        </w:rPr>
        <w:t>[19]</w:t>
      </w:r>
      <w:r w:rsidRPr="00DE3CA0">
        <w:rPr>
          <w:rFonts w:ascii="Times New Roman" w:eastAsia="黑体" w:hAnsi="Times New Roman" w:cs="Times New Roman"/>
          <w:sz w:val="24"/>
          <w:szCs w:val="24"/>
        </w:rPr>
        <w:t>看，黑话充当了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圈内人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的身份标识，强化群体边界；从互动仪式链理论</w:t>
      </w:r>
      <w:r w:rsidRPr="00DE3CA0">
        <w:rPr>
          <w:rFonts w:ascii="Times New Roman" w:eastAsia="黑体" w:hAnsi="Times New Roman" w:cs="Times New Roman"/>
          <w:sz w:val="24"/>
          <w:szCs w:val="24"/>
        </w:rPr>
        <w:t>[20]</w:t>
      </w:r>
      <w:r w:rsidRPr="00DE3CA0">
        <w:rPr>
          <w:rFonts w:ascii="Times New Roman" w:eastAsia="黑体" w:hAnsi="Times New Roman" w:cs="Times New Roman"/>
          <w:sz w:val="24"/>
          <w:szCs w:val="24"/>
        </w:rPr>
        <w:t>看，评论区符号互动形成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集体欢腾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的仪式效果，虽无实质内容，却能够增强情感连接。</w:t>
      </w:r>
    </w:p>
    <w:p w14:paraId="005527B3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值得深思的是，这种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无意义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互动可能恰恰满足了数字时代最本真的社交需求</w:t>
      </w:r>
      <w:r w:rsidRPr="00DE3CA0">
        <w:rPr>
          <w:rFonts w:ascii="Times New Roman" w:eastAsia="黑体" w:hAnsi="Times New Roman" w:cs="Times New Roman"/>
          <w:sz w:val="24"/>
          <w:szCs w:val="24"/>
        </w:rPr>
        <w:t>——</w:t>
      </w:r>
      <w:r w:rsidRPr="00DE3CA0">
        <w:rPr>
          <w:rFonts w:ascii="Times New Roman" w:eastAsia="黑体" w:hAnsi="Times New Roman" w:cs="Times New Roman"/>
          <w:sz w:val="24"/>
          <w:szCs w:val="24"/>
        </w:rPr>
        <w:t>被看见、被接纳、与人群产生连接</w:t>
      </w:r>
      <w:r w:rsidRPr="00DE3CA0">
        <w:rPr>
          <w:rFonts w:ascii="Times New Roman" w:eastAsia="黑体" w:hAnsi="Times New Roman" w:cs="Times New Roman"/>
          <w:sz w:val="24"/>
          <w:szCs w:val="24"/>
        </w:rPr>
        <w:t>[15]</w:t>
      </w:r>
      <w:r w:rsidRPr="00DE3CA0">
        <w:rPr>
          <w:rFonts w:ascii="Times New Roman" w:eastAsia="黑体" w:hAnsi="Times New Roman" w:cs="Times New Roman"/>
          <w:sz w:val="24"/>
          <w:szCs w:val="24"/>
        </w:rPr>
        <w:t>。在高度功利化的社会生活中，纯粹的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在一起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反而成为稀缺体验。</w:t>
      </w:r>
    </w:p>
    <w:p w14:paraId="11EF1D8E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4.4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研究局限与未来方向</w:t>
      </w:r>
    </w:p>
    <w:p w14:paraId="4265A4C2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本研究存在以下局限：（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）纳入资料均为</w:t>
      </w:r>
      <w:r w:rsidRPr="00DE3CA0">
        <w:rPr>
          <w:rFonts w:ascii="Times New Roman" w:eastAsia="黑体" w:hAnsi="Times New Roman" w:cs="Times New Roman"/>
          <w:sz w:val="24"/>
          <w:szCs w:val="24"/>
        </w:rPr>
        <w:t>2026</w:t>
      </w:r>
      <w:r w:rsidRPr="00DE3CA0">
        <w:rPr>
          <w:rFonts w:ascii="Times New Roman" w:eastAsia="黑体" w:hAnsi="Times New Roman" w:cs="Times New Roman"/>
          <w:sz w:val="24"/>
          <w:szCs w:val="24"/>
        </w:rPr>
        <w:t>年</w:t>
      </w:r>
      <w:r w:rsidRPr="00DE3CA0">
        <w:rPr>
          <w:rFonts w:ascii="Times New Roman" w:eastAsia="黑体" w:hAnsi="Times New Roman" w:cs="Times New Roman"/>
          <w:sz w:val="24"/>
          <w:szCs w:val="24"/>
        </w:rPr>
        <w:t>1—2</w:t>
      </w:r>
      <w:r w:rsidRPr="00DE3CA0">
        <w:rPr>
          <w:rFonts w:ascii="Times New Roman" w:eastAsia="黑体" w:hAnsi="Times New Roman" w:cs="Times New Roman"/>
          <w:sz w:val="24"/>
          <w:szCs w:val="24"/>
        </w:rPr>
        <w:t>月内容，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现象仍在演进中，结论需动态更新；（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2</w:t>
      </w:r>
      <w:r w:rsidRPr="00DE3CA0">
        <w:rPr>
          <w:rFonts w:ascii="Times New Roman" w:eastAsia="黑体" w:hAnsi="Times New Roman" w:cs="Times New Roman"/>
          <w:sz w:val="24"/>
          <w:szCs w:val="24"/>
        </w:rPr>
        <w:t>）主要为定性分析，缺乏对参与者的深度访谈或问卷调查；（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3</w:t>
      </w:r>
      <w:r w:rsidRPr="00DE3CA0">
        <w:rPr>
          <w:rFonts w:ascii="Times New Roman" w:eastAsia="黑体" w:hAnsi="Times New Roman" w:cs="Times New Roman"/>
          <w:sz w:val="24"/>
          <w:szCs w:val="24"/>
        </w:rPr>
        <w:t>）网络原生资料的真实性与代表性难以完全保证。</w:t>
      </w:r>
    </w:p>
    <w:p w14:paraId="3C8D9A75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未来研究可拓展方向：（</w:t>
      </w:r>
      <w:r w:rsidRPr="00DE3CA0">
        <w:rPr>
          <w:rFonts w:ascii="Times New Roman" w:eastAsia="黑体" w:hAnsi="Times New Roman" w:cs="Times New Roman"/>
          <w:sz w:val="24"/>
          <w:szCs w:val="24"/>
        </w:rPr>
        <w:t>1</w:t>
      </w:r>
      <w:r w:rsidRPr="00DE3CA0">
        <w:rPr>
          <w:rFonts w:ascii="Times New Roman" w:eastAsia="黑体" w:hAnsi="Times New Roman" w:cs="Times New Roman"/>
          <w:sz w:val="24"/>
          <w:szCs w:val="24"/>
        </w:rPr>
        <w:t>）追踪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现象的演化轨迹与生命周期；（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2</w:t>
      </w:r>
      <w:r w:rsidRPr="00DE3CA0">
        <w:rPr>
          <w:rFonts w:ascii="Times New Roman" w:eastAsia="黑体" w:hAnsi="Times New Roman" w:cs="Times New Roman"/>
          <w:sz w:val="24"/>
          <w:szCs w:val="24"/>
        </w:rPr>
        <w:t>）采用访谈法深入了解参与者的主观体验；（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3</w:t>
      </w:r>
      <w:r w:rsidRPr="00DE3CA0">
        <w:rPr>
          <w:rFonts w:ascii="Times New Roman" w:eastAsia="黑体" w:hAnsi="Times New Roman" w:cs="Times New Roman"/>
          <w:sz w:val="24"/>
          <w:szCs w:val="24"/>
        </w:rPr>
        <w:t>）比较不同数字平台的亚文化实践，揭示平台特性对文化形态的影响；（</w:t>
      </w:r>
      <w:r w:rsidRPr="00DE3CA0">
        <w:rPr>
          <w:rFonts w:ascii="Times New Roman" w:eastAsia="黑体" w:hAnsi="Times New Roman" w:cs="Times New Roman"/>
          <w:sz w:val="24"/>
          <w:szCs w:val="24"/>
        </w:rPr>
        <w:t>4</w:t>
      </w:r>
      <w:r w:rsidRPr="00DE3CA0">
        <w:rPr>
          <w:rFonts w:ascii="Times New Roman" w:eastAsia="黑体" w:hAnsi="Times New Roman" w:cs="Times New Roman"/>
          <w:sz w:val="24"/>
          <w:szCs w:val="24"/>
        </w:rPr>
        <w:t>）探讨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文化与更广泛的社会心态（如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躺平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内卷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）的关联。</w:t>
      </w:r>
    </w:p>
    <w:p w14:paraId="2E1A8E88" w14:textId="77777777" w:rsidR="008851E8" w:rsidRPr="00DE3CA0" w:rsidRDefault="008851E8">
      <w:pPr>
        <w:rPr>
          <w:rFonts w:ascii="Times New Roman" w:eastAsia="黑体" w:hAnsi="Times New Roman" w:cs="Times New Roman"/>
          <w:sz w:val="24"/>
          <w:szCs w:val="24"/>
        </w:rPr>
      </w:pPr>
    </w:p>
    <w:p w14:paraId="72C08EF3" w14:textId="5E6D9C85" w:rsidR="008851E8" w:rsidRPr="00DE3CA0" w:rsidRDefault="008851E8">
      <w:pPr>
        <w:rPr>
          <w:rFonts w:ascii="Times New Roman" w:eastAsia="黑体" w:hAnsi="Times New Roman" w:cs="Times New Roman"/>
          <w:sz w:val="24"/>
          <w:szCs w:val="24"/>
        </w:rPr>
      </w:pPr>
    </w:p>
    <w:p w14:paraId="043C12CC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5 </w:t>
      </w: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结论</w:t>
      </w:r>
    </w:p>
    <w:p w14:paraId="02FD431B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本研究系统综述了小红书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现象的核心特征与文化内涵。主要结论如下：</w:t>
      </w:r>
    </w:p>
    <w:p w14:paraId="3AFD7588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第一，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以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来稿即发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</w:t>
      </w:r>
      <w:r w:rsidRPr="00DE3CA0">
        <w:rPr>
          <w:rFonts w:ascii="Times New Roman" w:eastAsia="黑体" w:hAnsi="Times New Roman" w:cs="Times New Roman"/>
          <w:sz w:val="24"/>
          <w:szCs w:val="24"/>
        </w:rPr>
        <w:t>为爱发电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的运作模式，构建了高度包容的虚拟学术空间，收纳传统体系中无处安放的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失败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经验，实现了对权威学术体系的祛魅与解构。</w:t>
      </w:r>
    </w:p>
    <w:p w14:paraId="221879DE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第二，以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学术垃圾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为代表的黑话系统，成为圈层内部的身份标识，强化了基于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共同失败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的情感连接与身份认同。</w:t>
      </w:r>
    </w:p>
    <w:p w14:paraId="6FBB4145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第三，评论区符号化的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行为艺术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互动，构建了低门槛的新型社交秩序，消解了严肃讨论的压力，使每个人都能参与集体狂欢。</w:t>
      </w:r>
    </w:p>
    <w:p w14:paraId="612E506F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第四，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现象折射出当代青年对学术内卷的反抗、对失败经验的重新赋权，以及对本真社交连接的渴望。其标志着青年亚文化从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抵抗式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向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解构式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的后现代转向。</w:t>
      </w:r>
    </w:p>
    <w:p w14:paraId="04A66D09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在追求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顶刊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创新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的时代洪流中，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为失败留出空间，为无意义留出空间，为纯粹的欢聚留出空间。正如《</w:t>
      </w:r>
      <w:r w:rsidRPr="00DE3CA0">
        <w:rPr>
          <w:rFonts w:ascii="Times New Roman" w:eastAsia="黑体" w:hAnsi="Times New Roman" w:cs="Times New Roman"/>
          <w:sz w:val="24"/>
          <w:szCs w:val="24"/>
        </w:rPr>
        <w:t>Rubbish</w:t>
      </w:r>
      <w:r w:rsidRPr="00DE3CA0">
        <w:rPr>
          <w:rFonts w:ascii="Times New Roman" w:eastAsia="黑体" w:hAnsi="Times New Roman" w:cs="Times New Roman"/>
          <w:sz w:val="24"/>
          <w:szCs w:val="24"/>
        </w:rPr>
        <w:t>》期刊所言：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在垃圾堆也能仰望星空。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这份在荒诞中寻找意义的努力，或许正是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底刊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文化最珍贵的启示。</w:t>
      </w:r>
    </w:p>
    <w:p w14:paraId="7BB3BD97" w14:textId="77777777" w:rsidR="008851E8" w:rsidRPr="00DE3CA0" w:rsidRDefault="008851E8">
      <w:pPr>
        <w:rPr>
          <w:rFonts w:ascii="Times New Roman" w:eastAsia="黑体" w:hAnsi="Times New Roman" w:cs="Times New Roman"/>
          <w:sz w:val="24"/>
          <w:szCs w:val="24"/>
        </w:rPr>
      </w:pPr>
    </w:p>
    <w:p w14:paraId="5DCB9B13" w14:textId="70B21A9C" w:rsidR="008851E8" w:rsidRPr="00DE3CA0" w:rsidRDefault="008851E8">
      <w:pPr>
        <w:rPr>
          <w:rFonts w:ascii="Times New Roman" w:eastAsia="黑体" w:hAnsi="Times New Roman" w:cs="Times New Roman"/>
          <w:sz w:val="24"/>
          <w:szCs w:val="24"/>
        </w:rPr>
      </w:pPr>
    </w:p>
    <w:p w14:paraId="60A89B47" w14:textId="77777777" w:rsidR="008851E8" w:rsidRPr="00DE3CA0" w:rsidRDefault="00000000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DE3CA0">
        <w:rPr>
          <w:rFonts w:ascii="Times New Roman" w:eastAsia="黑体" w:hAnsi="Times New Roman" w:cs="Times New Roman"/>
          <w:b/>
          <w:bCs/>
          <w:sz w:val="24"/>
          <w:szCs w:val="24"/>
        </w:rPr>
        <w:t>参考文献</w:t>
      </w:r>
    </w:p>
    <w:p w14:paraId="76EEC7C6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[1] </w:t>
      </w:r>
      <w:r w:rsidRPr="00DE3CA0">
        <w:rPr>
          <w:rFonts w:ascii="Times New Roman" w:eastAsia="黑体" w:hAnsi="Times New Roman" w:cs="Times New Roman"/>
          <w:sz w:val="24"/>
          <w:szCs w:val="24"/>
        </w:rPr>
        <w:t>中州期刊联盟</w:t>
      </w:r>
      <w:r w:rsidRPr="00DE3CA0">
        <w:rPr>
          <w:rFonts w:ascii="Times New Roman" w:eastAsia="黑体" w:hAnsi="Times New Roman" w:cs="Times New Roman"/>
          <w:sz w:val="24"/>
          <w:szCs w:val="24"/>
        </w:rPr>
        <w:t>. 2026</w:t>
      </w:r>
      <w:r w:rsidRPr="00DE3CA0">
        <w:rPr>
          <w:rFonts w:ascii="Times New Roman" w:eastAsia="黑体" w:hAnsi="Times New Roman" w:cs="Times New Roman"/>
          <w:sz w:val="24"/>
          <w:szCs w:val="24"/>
        </w:rPr>
        <w:t>年打响科研人反叛第一枪？《</w:t>
      </w:r>
      <w:r w:rsidRPr="00DE3CA0">
        <w:rPr>
          <w:rFonts w:ascii="Times New Roman" w:eastAsia="黑体" w:hAnsi="Times New Roman" w:cs="Times New Roman"/>
          <w:sz w:val="24"/>
          <w:szCs w:val="24"/>
        </w:rPr>
        <w:t>Rubbish</w:t>
      </w:r>
      <w:r w:rsidRPr="00DE3CA0">
        <w:rPr>
          <w:rFonts w:ascii="Times New Roman" w:eastAsia="黑体" w:hAnsi="Times New Roman" w:cs="Times New Roman"/>
          <w:sz w:val="24"/>
          <w:szCs w:val="24"/>
        </w:rPr>
        <w:t>》期刊横空出世！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[EB/OL]. (2026-02-26). </w:t>
      </w:r>
      <w:r w:rsidRPr="00DE3CA0">
        <w:rPr>
          <w:rFonts w:ascii="Times New Roman" w:eastAsia="黑体" w:hAnsi="Times New Roman" w:cs="Times New Roman"/>
          <w:sz w:val="24"/>
          <w:szCs w:val="24"/>
        </w:rPr>
        <w:t>哔哩哔哩</w:t>
      </w:r>
      <w:r w:rsidRPr="00DE3CA0">
        <w:rPr>
          <w:rFonts w:ascii="Times New Roman" w:eastAsia="黑体" w:hAnsi="Times New Roman" w:cs="Times New Roman"/>
          <w:sz w:val="24"/>
          <w:szCs w:val="24"/>
        </w:rPr>
        <w:t>.</w:t>
      </w:r>
    </w:p>
    <w:p w14:paraId="717730FE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[2] </w:t>
      </w: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r w:rsidRPr="00DE3CA0">
        <w:rPr>
          <w:rFonts w:ascii="Times New Roman" w:eastAsia="黑体" w:hAnsi="Times New Roman" w:cs="Times New Roman"/>
          <w:sz w:val="24"/>
          <w:szCs w:val="24"/>
        </w:rPr>
        <w:t>Litter</w:t>
      </w:r>
      <w:r w:rsidRPr="00DE3CA0">
        <w:rPr>
          <w:rFonts w:ascii="Times New Roman" w:eastAsia="黑体" w:hAnsi="Times New Roman" w:cs="Times New Roman"/>
          <w:sz w:val="24"/>
          <w:szCs w:val="24"/>
        </w:rPr>
        <w:t>》期刊官方账号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Pr="00DE3CA0">
        <w:rPr>
          <w:rFonts w:ascii="Times New Roman" w:eastAsia="黑体" w:hAnsi="Times New Roman" w:cs="Times New Roman"/>
          <w:sz w:val="24"/>
          <w:szCs w:val="24"/>
        </w:rPr>
        <w:t>创刊语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[EB/OL]. </w:t>
      </w:r>
      <w:r w:rsidRPr="00DE3CA0">
        <w:rPr>
          <w:rFonts w:ascii="Times New Roman" w:eastAsia="黑体" w:hAnsi="Times New Roman" w:cs="Times New Roman"/>
          <w:sz w:val="24"/>
          <w:szCs w:val="24"/>
        </w:rPr>
        <w:t>小红书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2026-01-15.</w:t>
      </w:r>
    </w:p>
    <w:p w14:paraId="765E36A6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[3] </w:t>
      </w: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proofErr w:type="spellStart"/>
      <w:r w:rsidRPr="00DE3CA0">
        <w:rPr>
          <w:rFonts w:ascii="Times New Roman" w:eastAsia="黑体" w:hAnsi="Times New Roman" w:cs="Times New Roman"/>
          <w:sz w:val="24"/>
          <w:szCs w:val="24"/>
        </w:rPr>
        <w:t>Notrue</w:t>
      </w:r>
      <w:proofErr w:type="spellEnd"/>
      <w:r w:rsidRPr="00DE3CA0">
        <w:rPr>
          <w:rFonts w:ascii="Times New Roman" w:eastAsia="黑体" w:hAnsi="Times New Roman" w:cs="Times New Roman"/>
          <w:sz w:val="24"/>
          <w:szCs w:val="24"/>
        </w:rPr>
        <w:t>》期刊官方账号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Pr="00DE3CA0">
        <w:rPr>
          <w:rFonts w:ascii="Times New Roman" w:eastAsia="黑体" w:hAnsi="Times New Roman" w:cs="Times New Roman"/>
          <w:sz w:val="24"/>
          <w:szCs w:val="24"/>
        </w:rPr>
        <w:t>征稿启事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[EB/OL]. </w:t>
      </w:r>
      <w:r w:rsidRPr="00DE3CA0">
        <w:rPr>
          <w:rFonts w:ascii="Times New Roman" w:eastAsia="黑体" w:hAnsi="Times New Roman" w:cs="Times New Roman"/>
          <w:sz w:val="24"/>
          <w:szCs w:val="24"/>
        </w:rPr>
        <w:t>小红书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2026-01-20.</w:t>
      </w:r>
    </w:p>
    <w:p w14:paraId="5BD15763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[4] </w:t>
      </w:r>
      <w:r w:rsidRPr="00DE3CA0">
        <w:rPr>
          <w:rFonts w:ascii="Times New Roman" w:eastAsia="黑体" w:hAnsi="Times New Roman" w:cs="Times New Roman"/>
          <w:sz w:val="24"/>
          <w:szCs w:val="24"/>
        </w:rPr>
        <w:t>陶东风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Pr="00DE3CA0">
        <w:rPr>
          <w:rFonts w:ascii="Times New Roman" w:eastAsia="黑体" w:hAnsi="Times New Roman" w:cs="Times New Roman"/>
          <w:sz w:val="24"/>
          <w:szCs w:val="24"/>
        </w:rPr>
        <w:t>亚文化读本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[M]. </w:t>
      </w:r>
      <w:r w:rsidRPr="00DE3CA0">
        <w:rPr>
          <w:rFonts w:ascii="Times New Roman" w:eastAsia="黑体" w:hAnsi="Times New Roman" w:cs="Times New Roman"/>
          <w:sz w:val="24"/>
          <w:szCs w:val="24"/>
        </w:rPr>
        <w:t>北京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: </w:t>
      </w:r>
      <w:r w:rsidRPr="00DE3CA0">
        <w:rPr>
          <w:rFonts w:ascii="Times New Roman" w:eastAsia="黑体" w:hAnsi="Times New Roman" w:cs="Times New Roman"/>
          <w:sz w:val="24"/>
          <w:szCs w:val="24"/>
        </w:rPr>
        <w:t>北京大学出版社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2011: 45-67.</w:t>
      </w:r>
    </w:p>
    <w:p w14:paraId="20E30EF2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[5] Page MJ, McKenzie JE, Bossuyt PM, et al. The PRISMA 2020 statement: an updated guideline for reporting systematic reviews[J]. BMJ, 2021, 372: n71.</w:t>
      </w:r>
    </w:p>
    <w:p w14:paraId="28BDC963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lastRenderedPageBreak/>
        <w:t>[6] Lincoln YS, Guba EG. Naturalistic inquiry[M]. Beverly Hills: Sage, 1985.</w:t>
      </w:r>
    </w:p>
    <w:p w14:paraId="1E185CFD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[7] Thomas J, Harden A. Methods for the thematic synthesis of qualitative research in systematic reviews[J]. BMC Medical Research Methodology, 2008, 8(1): 45.</w:t>
      </w:r>
    </w:p>
    <w:p w14:paraId="445CA428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[8] </w:t>
      </w: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r w:rsidRPr="00DE3CA0">
        <w:rPr>
          <w:rFonts w:ascii="Times New Roman" w:eastAsia="黑体" w:hAnsi="Times New Roman" w:cs="Times New Roman"/>
          <w:sz w:val="24"/>
          <w:szCs w:val="24"/>
        </w:rPr>
        <w:t>Nothing</w:t>
      </w:r>
      <w:r w:rsidRPr="00DE3CA0">
        <w:rPr>
          <w:rFonts w:ascii="Times New Roman" w:eastAsia="黑体" w:hAnsi="Times New Roman" w:cs="Times New Roman"/>
          <w:sz w:val="24"/>
          <w:szCs w:val="24"/>
        </w:rPr>
        <w:t>》期刊官方账号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Pr="00DE3CA0">
        <w:rPr>
          <w:rFonts w:ascii="Times New Roman" w:eastAsia="黑体" w:hAnsi="Times New Roman" w:cs="Times New Roman"/>
          <w:sz w:val="24"/>
          <w:szCs w:val="24"/>
        </w:rPr>
        <w:t>投稿指南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[EB/OL]. </w:t>
      </w:r>
      <w:r w:rsidRPr="00DE3CA0">
        <w:rPr>
          <w:rFonts w:ascii="Times New Roman" w:eastAsia="黑体" w:hAnsi="Times New Roman" w:cs="Times New Roman"/>
          <w:sz w:val="24"/>
          <w:szCs w:val="24"/>
        </w:rPr>
        <w:t>小红书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2026-01-18.</w:t>
      </w:r>
    </w:p>
    <w:p w14:paraId="2CEDD200" w14:textId="02E5BCC0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[9] </w:t>
      </w: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r w:rsidR="00807411">
        <w:rPr>
          <w:rFonts w:ascii="Times New Roman" w:eastAsia="黑体" w:hAnsi="Times New Roman" w:cs="Times New Roman"/>
          <w:sz w:val="24"/>
          <w:szCs w:val="24"/>
        </w:rPr>
        <w:t>The nonsense</w:t>
      </w:r>
      <w:r w:rsidRPr="00DE3CA0">
        <w:rPr>
          <w:rFonts w:ascii="Times New Roman" w:eastAsia="黑体" w:hAnsi="Times New Roman" w:cs="Times New Roman"/>
          <w:sz w:val="24"/>
          <w:szCs w:val="24"/>
        </w:rPr>
        <w:t>》期刊官方账号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Pr="00DE3CA0">
        <w:rPr>
          <w:rFonts w:ascii="Times New Roman" w:eastAsia="黑体" w:hAnsi="Times New Roman" w:cs="Times New Roman"/>
          <w:sz w:val="24"/>
          <w:szCs w:val="24"/>
        </w:rPr>
        <w:t>创刊辞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[EB/OL]. </w:t>
      </w:r>
      <w:r w:rsidRPr="00DE3CA0">
        <w:rPr>
          <w:rFonts w:ascii="Times New Roman" w:eastAsia="黑体" w:hAnsi="Times New Roman" w:cs="Times New Roman"/>
          <w:sz w:val="24"/>
          <w:szCs w:val="24"/>
        </w:rPr>
        <w:t>小红书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2026-01-22.</w:t>
      </w:r>
    </w:p>
    <w:p w14:paraId="5F3F275F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[10] </w:t>
      </w:r>
      <w:r w:rsidRPr="00DE3CA0">
        <w:rPr>
          <w:rFonts w:ascii="Times New Roman" w:eastAsia="黑体" w:hAnsi="Times New Roman" w:cs="Times New Roman"/>
          <w:sz w:val="24"/>
          <w:szCs w:val="24"/>
        </w:rPr>
        <w:t>李明</w:t>
      </w:r>
      <w:r w:rsidRPr="00DE3CA0">
        <w:rPr>
          <w:rFonts w:ascii="Times New Roman" w:eastAsia="黑体" w:hAnsi="Times New Roman" w:cs="Times New Roman"/>
          <w:sz w:val="24"/>
          <w:szCs w:val="24"/>
        </w:rPr>
        <w:t>. 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学术垃圾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的社会学想象：虚拟期刊与青年心态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[J]. </w:t>
      </w:r>
      <w:r w:rsidRPr="00DE3CA0">
        <w:rPr>
          <w:rFonts w:ascii="Times New Roman" w:eastAsia="黑体" w:hAnsi="Times New Roman" w:cs="Times New Roman"/>
          <w:sz w:val="24"/>
          <w:szCs w:val="24"/>
        </w:rPr>
        <w:t>青年研究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2026(</w:t>
      </w:r>
      <w:r w:rsidRPr="00DE3CA0">
        <w:rPr>
          <w:rFonts w:ascii="Times New Roman" w:eastAsia="黑体" w:hAnsi="Times New Roman" w:cs="Times New Roman"/>
          <w:sz w:val="24"/>
          <w:szCs w:val="24"/>
        </w:rPr>
        <w:t>预印本</w:t>
      </w:r>
      <w:r w:rsidRPr="00DE3CA0">
        <w:rPr>
          <w:rFonts w:ascii="Times New Roman" w:eastAsia="黑体" w:hAnsi="Times New Roman" w:cs="Times New Roman"/>
          <w:sz w:val="24"/>
          <w:szCs w:val="24"/>
        </w:rPr>
        <w:t>).</w:t>
      </w:r>
    </w:p>
    <w:p w14:paraId="7D44EC74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[11] </w:t>
      </w:r>
      <w:r w:rsidRPr="00DE3CA0">
        <w:rPr>
          <w:rFonts w:ascii="Times New Roman" w:eastAsia="黑体" w:hAnsi="Times New Roman" w:cs="Times New Roman"/>
          <w:sz w:val="24"/>
          <w:szCs w:val="24"/>
        </w:rPr>
        <w:t>用户投稿样本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A. </w:t>
      </w:r>
      <w:r w:rsidRPr="00DE3CA0">
        <w:rPr>
          <w:rFonts w:ascii="Times New Roman" w:eastAsia="黑体" w:hAnsi="Times New Roman" w:cs="Times New Roman"/>
          <w:sz w:val="24"/>
          <w:szCs w:val="24"/>
        </w:rPr>
        <w:t>我的第一篇底刊论文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[EB/OL]. </w:t>
      </w:r>
      <w:r w:rsidRPr="00DE3CA0">
        <w:rPr>
          <w:rFonts w:ascii="Times New Roman" w:eastAsia="黑体" w:hAnsi="Times New Roman" w:cs="Times New Roman"/>
          <w:sz w:val="24"/>
          <w:szCs w:val="24"/>
        </w:rPr>
        <w:t>小红书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2026-01-25.</w:t>
      </w:r>
    </w:p>
    <w:p w14:paraId="4AD7B2D2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[12] </w:t>
      </w:r>
      <w:r w:rsidRPr="00DE3CA0">
        <w:rPr>
          <w:rFonts w:ascii="Times New Roman" w:eastAsia="黑体" w:hAnsi="Times New Roman" w:cs="Times New Roman"/>
          <w:sz w:val="24"/>
          <w:szCs w:val="24"/>
        </w:rPr>
        <w:t>用户投稿样本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B. </w:t>
      </w:r>
      <w:r w:rsidRPr="00DE3CA0">
        <w:rPr>
          <w:rFonts w:ascii="Times New Roman" w:eastAsia="黑体" w:hAnsi="Times New Roman" w:cs="Times New Roman"/>
          <w:sz w:val="24"/>
          <w:szCs w:val="24"/>
        </w:rPr>
        <w:t>来稿即发体验记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[EB/OL]. </w:t>
      </w:r>
      <w:r w:rsidRPr="00DE3CA0">
        <w:rPr>
          <w:rFonts w:ascii="Times New Roman" w:eastAsia="黑体" w:hAnsi="Times New Roman" w:cs="Times New Roman"/>
          <w:sz w:val="24"/>
          <w:szCs w:val="24"/>
        </w:rPr>
        <w:t>小红书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2026-01-28.</w:t>
      </w:r>
    </w:p>
    <w:p w14:paraId="5C5903F6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[13] </w:t>
      </w:r>
      <w:r w:rsidRPr="00DE3CA0">
        <w:rPr>
          <w:rFonts w:ascii="Times New Roman" w:eastAsia="黑体" w:hAnsi="Times New Roman" w:cs="Times New Roman"/>
          <w:sz w:val="24"/>
          <w:szCs w:val="24"/>
        </w:rPr>
        <w:t>小红书</w:t>
      </w:r>
      <w:r w:rsidRPr="00DE3CA0">
        <w:rPr>
          <w:rFonts w:ascii="Times New Roman" w:eastAsia="黑体" w:hAnsi="Times New Roman" w:cs="Times New Roman"/>
          <w:sz w:val="24"/>
          <w:szCs w:val="24"/>
        </w:rPr>
        <w:t>. 2026</w:t>
      </w:r>
      <w:r w:rsidRPr="00DE3CA0">
        <w:rPr>
          <w:rFonts w:ascii="Times New Roman" w:eastAsia="黑体" w:hAnsi="Times New Roman" w:cs="Times New Roman"/>
          <w:sz w:val="24"/>
          <w:szCs w:val="24"/>
        </w:rPr>
        <w:t>春节流行文化观察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[R]. </w:t>
      </w:r>
      <w:r w:rsidRPr="00DE3CA0">
        <w:rPr>
          <w:rFonts w:ascii="Times New Roman" w:eastAsia="黑体" w:hAnsi="Times New Roman" w:cs="Times New Roman"/>
          <w:sz w:val="24"/>
          <w:szCs w:val="24"/>
        </w:rPr>
        <w:t>小红书数据实验室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2026-02-10.</w:t>
      </w:r>
    </w:p>
    <w:p w14:paraId="5850C069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[14] </w:t>
      </w:r>
      <w:r w:rsidRPr="00DE3CA0">
        <w:rPr>
          <w:rFonts w:ascii="Times New Roman" w:eastAsia="黑体" w:hAnsi="Times New Roman" w:cs="Times New Roman"/>
          <w:sz w:val="24"/>
          <w:szCs w:val="24"/>
        </w:rPr>
        <w:t>评论区互动记录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Pr="00DE3CA0">
        <w:rPr>
          <w:rFonts w:ascii="Times New Roman" w:eastAsia="黑体" w:hAnsi="Times New Roman" w:cs="Times New Roman"/>
          <w:sz w:val="24"/>
          <w:szCs w:val="24"/>
        </w:rPr>
        <w:t>《</w:t>
      </w:r>
      <w:r w:rsidRPr="00DE3CA0">
        <w:rPr>
          <w:rFonts w:ascii="Times New Roman" w:eastAsia="黑体" w:hAnsi="Times New Roman" w:cs="Times New Roman"/>
          <w:sz w:val="24"/>
          <w:szCs w:val="24"/>
        </w:rPr>
        <w:t>Rubbish</w:t>
      </w:r>
      <w:r w:rsidRPr="00DE3CA0">
        <w:rPr>
          <w:rFonts w:ascii="Times New Roman" w:eastAsia="黑体" w:hAnsi="Times New Roman" w:cs="Times New Roman"/>
          <w:sz w:val="24"/>
          <w:szCs w:val="24"/>
        </w:rPr>
        <w:t>》期刊评论区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[EB/OL]. </w:t>
      </w:r>
      <w:r w:rsidRPr="00DE3CA0">
        <w:rPr>
          <w:rFonts w:ascii="Times New Roman" w:eastAsia="黑体" w:hAnsi="Times New Roman" w:cs="Times New Roman"/>
          <w:sz w:val="24"/>
          <w:szCs w:val="24"/>
        </w:rPr>
        <w:t>小红书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2026-02-01—02-15.</w:t>
      </w:r>
    </w:p>
    <w:p w14:paraId="681B933E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[15] </w:t>
      </w:r>
      <w:r w:rsidRPr="00DE3CA0">
        <w:rPr>
          <w:rFonts w:ascii="Times New Roman" w:eastAsia="黑体" w:hAnsi="Times New Roman" w:cs="Times New Roman"/>
          <w:sz w:val="24"/>
          <w:szCs w:val="24"/>
        </w:rPr>
        <w:t>王小明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Pr="00DE3CA0">
        <w:rPr>
          <w:rFonts w:ascii="Times New Roman" w:eastAsia="黑体" w:hAnsi="Times New Roman" w:cs="Times New Roman"/>
          <w:sz w:val="24"/>
          <w:szCs w:val="24"/>
        </w:rPr>
        <w:t>赛博空间的行为艺术：数字互动的意义重构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[J]. </w:t>
      </w:r>
      <w:r w:rsidRPr="00DE3CA0">
        <w:rPr>
          <w:rFonts w:ascii="Times New Roman" w:eastAsia="黑体" w:hAnsi="Times New Roman" w:cs="Times New Roman"/>
          <w:sz w:val="24"/>
          <w:szCs w:val="24"/>
        </w:rPr>
        <w:t>新闻与传播研究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2025, 32(4): 56-71.</w:t>
      </w:r>
    </w:p>
    <w:p w14:paraId="04A4FE31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[16] Hall S, Jefferson T. Resistance through rituals: Youth subcultures in post-war Britain[M]. London: Hutchinson, 1976.</w:t>
      </w:r>
    </w:p>
    <w:p w14:paraId="5F52A226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[17] Baudrillard J. Simulacra and simulation[M]. Ann Arbor: University of Michigan Press, 1994.</w:t>
      </w:r>
    </w:p>
    <w:p w14:paraId="6AC2884F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[18] </w:t>
      </w:r>
      <w:r w:rsidRPr="00DE3CA0">
        <w:rPr>
          <w:rFonts w:ascii="Times New Roman" w:eastAsia="黑体" w:hAnsi="Times New Roman" w:cs="Times New Roman"/>
          <w:sz w:val="24"/>
          <w:szCs w:val="24"/>
        </w:rPr>
        <w:t>张伟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Pr="00DE3CA0">
        <w:rPr>
          <w:rFonts w:ascii="Times New Roman" w:eastAsia="黑体" w:hAnsi="Times New Roman" w:cs="Times New Roman"/>
          <w:sz w:val="24"/>
          <w:szCs w:val="24"/>
        </w:rPr>
        <w:t>数字社群的集体疗愈：基于</w:t>
      </w:r>
      <w:r w:rsidRPr="00DE3CA0">
        <w:rPr>
          <w:rFonts w:ascii="Times New Roman" w:eastAsia="黑体" w:hAnsi="Times New Roman" w:cs="Times New Roman"/>
          <w:sz w:val="24"/>
          <w:szCs w:val="24"/>
        </w:rPr>
        <w:t>“</w:t>
      </w:r>
      <w:r w:rsidRPr="00DE3CA0">
        <w:rPr>
          <w:rFonts w:ascii="Times New Roman" w:eastAsia="黑体" w:hAnsi="Times New Roman" w:cs="Times New Roman"/>
          <w:sz w:val="24"/>
          <w:szCs w:val="24"/>
        </w:rPr>
        <w:t>失败学</w:t>
      </w:r>
      <w:r w:rsidRPr="00DE3CA0">
        <w:rPr>
          <w:rFonts w:ascii="Times New Roman" w:eastAsia="黑体" w:hAnsi="Times New Roman" w:cs="Times New Roman"/>
          <w:sz w:val="24"/>
          <w:szCs w:val="24"/>
        </w:rPr>
        <w:t>”</w:t>
      </w:r>
      <w:r w:rsidRPr="00DE3CA0">
        <w:rPr>
          <w:rFonts w:ascii="Times New Roman" w:eastAsia="黑体" w:hAnsi="Times New Roman" w:cs="Times New Roman"/>
          <w:sz w:val="24"/>
          <w:szCs w:val="24"/>
        </w:rPr>
        <w:t>社群的考察</w:t>
      </w:r>
      <w:r w:rsidRPr="00DE3CA0">
        <w:rPr>
          <w:rFonts w:ascii="Times New Roman" w:eastAsia="黑体" w:hAnsi="Times New Roman" w:cs="Times New Roman"/>
          <w:sz w:val="24"/>
          <w:szCs w:val="24"/>
        </w:rPr>
        <w:t xml:space="preserve">[J]. </w:t>
      </w:r>
      <w:r w:rsidRPr="00DE3CA0">
        <w:rPr>
          <w:rFonts w:ascii="Times New Roman" w:eastAsia="黑体" w:hAnsi="Times New Roman" w:cs="Times New Roman"/>
          <w:sz w:val="24"/>
          <w:szCs w:val="24"/>
        </w:rPr>
        <w:t>当代青年研究</w:t>
      </w:r>
      <w:r w:rsidRPr="00DE3CA0">
        <w:rPr>
          <w:rFonts w:ascii="Times New Roman" w:eastAsia="黑体" w:hAnsi="Times New Roman" w:cs="Times New Roman"/>
          <w:sz w:val="24"/>
          <w:szCs w:val="24"/>
        </w:rPr>
        <w:t>, 2026(1): 34-42.</w:t>
      </w:r>
    </w:p>
    <w:p w14:paraId="07135E0C" w14:textId="77777777" w:rsidR="008851E8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[19] Tajfel H, Turner JC. The social identity theory of intergroup behavior[C]//</w:t>
      </w:r>
      <w:proofErr w:type="spellStart"/>
      <w:r w:rsidRPr="00DE3CA0">
        <w:rPr>
          <w:rFonts w:ascii="Times New Roman" w:eastAsia="黑体" w:hAnsi="Times New Roman" w:cs="Times New Roman"/>
          <w:sz w:val="24"/>
          <w:szCs w:val="24"/>
        </w:rPr>
        <w:t>Worchel</w:t>
      </w:r>
      <w:proofErr w:type="spellEnd"/>
      <w:r w:rsidRPr="00DE3CA0">
        <w:rPr>
          <w:rFonts w:ascii="Times New Roman" w:eastAsia="黑体" w:hAnsi="Times New Roman" w:cs="Times New Roman"/>
          <w:sz w:val="24"/>
          <w:szCs w:val="24"/>
        </w:rPr>
        <w:t xml:space="preserve"> S, Austin WG. Psychology of intergroup relations. Chicago: Nelson-Hall, 1986: 7-24.</w:t>
      </w:r>
    </w:p>
    <w:p w14:paraId="5296A4E5" w14:textId="43F41D43" w:rsidR="00520617" w:rsidRPr="00DE3CA0" w:rsidRDefault="00000000">
      <w:pPr>
        <w:rPr>
          <w:rFonts w:ascii="Times New Roman" w:eastAsia="黑体" w:hAnsi="Times New Roman" w:cs="Times New Roman"/>
          <w:sz w:val="24"/>
          <w:szCs w:val="24"/>
        </w:rPr>
      </w:pPr>
      <w:r w:rsidRPr="00DE3CA0">
        <w:rPr>
          <w:rFonts w:ascii="Times New Roman" w:eastAsia="黑体" w:hAnsi="Times New Roman" w:cs="Times New Roman"/>
          <w:sz w:val="24"/>
          <w:szCs w:val="24"/>
        </w:rPr>
        <w:t>[20] Collins R. Interaction ritual chains[M]. Princeton: Princeton University Press, 2004.</w:t>
      </w:r>
    </w:p>
    <w:sectPr w:rsidR="00520617" w:rsidRPr="00DE3CA0" w:rsidSect="00DE3C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510" w:footer="96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40C6B" w14:textId="77777777" w:rsidR="00287872" w:rsidRDefault="00287872" w:rsidP="00C43268">
      <w:r>
        <w:separator/>
      </w:r>
    </w:p>
  </w:endnote>
  <w:endnote w:type="continuationSeparator" w:id="0">
    <w:p w14:paraId="37D5E260" w14:textId="77777777" w:rsidR="00287872" w:rsidRDefault="00287872" w:rsidP="00C4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15D3D" w14:textId="77777777" w:rsidR="00C43268" w:rsidRDefault="00C4326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1F0A" w14:textId="696949FB" w:rsidR="001642AF" w:rsidRDefault="00000000" w:rsidP="00ED27C4">
    <w:pPr>
      <w:pStyle w:val="a5"/>
      <w:tabs>
        <w:tab w:val="clear" w:pos="4153"/>
        <w:tab w:val="clear" w:pos="8306"/>
        <w:tab w:val="left" w:pos="7351"/>
      </w:tabs>
    </w:pPr>
    <w:sdt>
      <w:sdtPr>
        <w:id w:val="807206133"/>
        <w:docPartObj>
          <w:docPartGallery w:val="Page Numbers (Bottom of Page)"/>
          <w:docPartUnique/>
        </w:docPartObj>
      </w:sdtPr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Content>
            <w:r w:rsidR="001642AF">
              <w:rPr>
                <w:lang w:val="zh-CN"/>
              </w:rPr>
              <w:t xml:space="preserve"> </w:t>
            </w:r>
            <w:r w:rsidR="001642AF">
              <w:rPr>
                <w:b/>
                <w:bCs/>
                <w:sz w:val="24"/>
                <w:szCs w:val="24"/>
              </w:rPr>
              <w:fldChar w:fldCharType="begin"/>
            </w:r>
            <w:r w:rsidR="001642AF">
              <w:rPr>
                <w:b/>
                <w:bCs/>
              </w:rPr>
              <w:instrText>PAGE</w:instrText>
            </w:r>
            <w:r w:rsidR="001642AF">
              <w:rPr>
                <w:b/>
                <w:bCs/>
                <w:sz w:val="24"/>
                <w:szCs w:val="24"/>
              </w:rPr>
              <w:fldChar w:fldCharType="separate"/>
            </w:r>
            <w:r w:rsidR="001642AF">
              <w:rPr>
                <w:b/>
                <w:bCs/>
                <w:lang w:val="zh-CN"/>
              </w:rPr>
              <w:t>2</w:t>
            </w:r>
            <w:r w:rsidR="001642AF">
              <w:rPr>
                <w:b/>
                <w:bCs/>
                <w:sz w:val="24"/>
                <w:szCs w:val="24"/>
              </w:rPr>
              <w:fldChar w:fldCharType="end"/>
            </w:r>
            <w:r w:rsidR="001642AF">
              <w:rPr>
                <w:lang w:val="zh-CN"/>
              </w:rPr>
              <w:t xml:space="preserve"> / </w:t>
            </w:r>
            <w:r w:rsidR="001642AF">
              <w:rPr>
                <w:b/>
                <w:bCs/>
                <w:sz w:val="24"/>
                <w:szCs w:val="24"/>
              </w:rPr>
              <w:fldChar w:fldCharType="begin"/>
            </w:r>
            <w:r w:rsidR="001642AF">
              <w:rPr>
                <w:b/>
                <w:bCs/>
              </w:rPr>
              <w:instrText>NUMPAGES</w:instrText>
            </w:r>
            <w:r w:rsidR="001642AF">
              <w:rPr>
                <w:b/>
                <w:bCs/>
                <w:sz w:val="24"/>
                <w:szCs w:val="24"/>
              </w:rPr>
              <w:fldChar w:fldCharType="separate"/>
            </w:r>
            <w:r w:rsidR="001642AF">
              <w:rPr>
                <w:b/>
                <w:bCs/>
                <w:lang w:val="zh-CN"/>
              </w:rPr>
              <w:t>2</w:t>
            </w:r>
            <w:r w:rsidR="001642AF">
              <w:rPr>
                <w:b/>
                <w:bCs/>
                <w:sz w:val="24"/>
                <w:szCs w:val="24"/>
              </w:rPr>
              <w:fldChar w:fldCharType="end"/>
            </w:r>
            <w:r w:rsidR="00ED27C4">
              <w:rPr>
                <w:rFonts w:hint="eastAsia"/>
                <w:b/>
                <w:bCs/>
                <w:sz w:val="24"/>
                <w:szCs w:val="24"/>
              </w:rPr>
              <w:t xml:space="preserve">                                                </w:t>
            </w:r>
          </w:sdtContent>
        </w:sdt>
      </w:sdtContent>
    </w:sdt>
    <w:r w:rsidR="00ED27C4" w:rsidRPr="00B5638E">
      <w:rPr>
        <w:rFonts w:ascii="Broadway" w:hAnsi="Broadway" w:hint="eastAsia"/>
        <w:color w:val="403152" w:themeColor="accent4" w:themeShade="80"/>
      </w:rPr>
      <w:t xml:space="preserve">THE </w:t>
    </w:r>
    <w:r w:rsidR="00ED27C4" w:rsidRPr="00B5638E">
      <w:rPr>
        <w:rFonts w:ascii="Broadway" w:hAnsi="Broadway"/>
        <w:color w:val="403152" w:themeColor="accent4" w:themeShade="80"/>
      </w:rPr>
      <w:t>NONSENSE</w:t>
    </w:r>
    <w:r w:rsidR="00ED27C4">
      <w:rPr>
        <w:rFonts w:ascii="Broadway" w:hAnsi="Broadway" w:hint="eastAsia"/>
        <w:color w:val="403152" w:themeColor="accent4" w:themeShade="80"/>
      </w:rPr>
      <w:t>,2026</w:t>
    </w:r>
  </w:p>
  <w:p w14:paraId="581C2959" w14:textId="77777777" w:rsidR="00C43268" w:rsidRDefault="00C4326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13A32" w14:textId="77777777" w:rsidR="00C43268" w:rsidRDefault="00C432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93601" w14:textId="77777777" w:rsidR="00287872" w:rsidRDefault="00287872" w:rsidP="00C43268">
      <w:r>
        <w:separator/>
      </w:r>
    </w:p>
  </w:footnote>
  <w:footnote w:type="continuationSeparator" w:id="0">
    <w:p w14:paraId="57BE43BE" w14:textId="77777777" w:rsidR="00287872" w:rsidRDefault="00287872" w:rsidP="00C43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AC6AE" w14:textId="77777777" w:rsidR="00C43268" w:rsidRDefault="00C4326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80BA9" w14:textId="7A91A09C" w:rsidR="000A614B" w:rsidRDefault="000A614B">
    <w:pPr>
      <w:pStyle w:val="a3"/>
    </w:pPr>
  </w:p>
  <w:p w14:paraId="504BC7E2" w14:textId="7687C7C7" w:rsidR="00B5638E" w:rsidRPr="00B5638E" w:rsidRDefault="00B5638E" w:rsidP="00B5638E">
    <w:pPr>
      <w:pStyle w:val="a3"/>
      <w:spacing w:line="480" w:lineRule="auto"/>
      <w:jc w:val="left"/>
      <w:rPr>
        <w:rFonts w:ascii="Broadway" w:hAnsi="Broadway"/>
        <w:color w:val="403152" w:themeColor="accent4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2122E" w14:textId="36A5DDAB" w:rsidR="000A614B" w:rsidRPr="00DE3CA0" w:rsidRDefault="000A614B" w:rsidP="000A614B">
    <w:pPr>
      <w:pStyle w:val="a3"/>
      <w:jc w:val="both"/>
      <w:rPr>
        <w:rFonts w:ascii="Broadway" w:hAnsi="Broadway"/>
        <w:color w:val="403152" w:themeColor="accent4" w:themeShade="80"/>
        <w:sz w:val="40"/>
        <w:szCs w:val="40"/>
      </w:rPr>
    </w:pPr>
    <w:r w:rsidRPr="00DE3CA0">
      <w:rPr>
        <w:rFonts w:ascii="Broadway" w:hAnsi="Broadway"/>
        <w:noProof/>
        <w:color w:val="403152" w:themeColor="accent4" w:themeShade="80"/>
        <w:sz w:val="40"/>
        <w:szCs w:val="40"/>
      </w:rPr>
      <w:drawing>
        <wp:anchor distT="0" distB="0" distL="114300" distR="114300" simplePos="0" relativeHeight="251658240" behindDoc="1" locked="0" layoutInCell="1" allowOverlap="1" wp14:anchorId="2BA3B63D" wp14:editId="62193A54">
          <wp:simplePos x="0" y="0"/>
          <wp:positionH relativeFrom="margin">
            <wp:posOffset>4346471</wp:posOffset>
          </wp:positionH>
          <wp:positionV relativeFrom="paragraph">
            <wp:posOffset>-156210</wp:posOffset>
          </wp:positionV>
          <wp:extent cx="920219" cy="710184"/>
          <wp:effectExtent l="0" t="0" r="0" b="0"/>
          <wp:wrapNone/>
          <wp:docPr id="103507685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507685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219" cy="710184"/>
                  </a:xfrm>
                  <a:prstGeom prst="rect">
                    <a:avLst/>
                  </a:prstGeom>
                  <a:effectLst>
                    <a:softEdge rad="889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CA0">
      <w:rPr>
        <w:rFonts w:ascii="Broadway" w:hAnsi="Broadway"/>
        <w:color w:val="403152" w:themeColor="accent4" w:themeShade="80"/>
        <w:sz w:val="40"/>
        <w:szCs w:val="40"/>
      </w:rPr>
      <w:t>THE NOONSENSE</w:t>
    </w:r>
  </w:p>
  <w:p w14:paraId="69E67ED0" w14:textId="0E1D2D23" w:rsidR="00C43268" w:rsidRDefault="000A614B">
    <w:pPr>
      <w:pStyle w:val="a3"/>
    </w:pPr>
    <w:r w:rsidRPr="00DE3CA0">
      <w:rPr>
        <w:rFonts w:ascii="Broadway" w:hAnsi="Broadway"/>
        <w:color w:val="5F497A" w:themeColor="accent4" w:themeShade="BF"/>
        <w:sz w:val="24"/>
        <w:szCs w:val="24"/>
      </w:rPr>
      <w:t>Even the mew can be accepted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617"/>
    <w:rsid w:val="000A614B"/>
    <w:rsid w:val="001642AF"/>
    <w:rsid w:val="001B69B1"/>
    <w:rsid w:val="0027123F"/>
    <w:rsid w:val="00287872"/>
    <w:rsid w:val="00393F5D"/>
    <w:rsid w:val="0043519F"/>
    <w:rsid w:val="00520617"/>
    <w:rsid w:val="00522FCD"/>
    <w:rsid w:val="00701862"/>
    <w:rsid w:val="00752F67"/>
    <w:rsid w:val="007C3F8B"/>
    <w:rsid w:val="00807411"/>
    <w:rsid w:val="008851E8"/>
    <w:rsid w:val="009C0060"/>
    <w:rsid w:val="009E3B84"/>
    <w:rsid w:val="00B5638E"/>
    <w:rsid w:val="00C43268"/>
    <w:rsid w:val="00DE3CA0"/>
    <w:rsid w:val="00ED2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059F64"/>
  <w15:docId w15:val="{39496C90-B8CE-458F-9177-19B348726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Arial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26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32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32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32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9C7A9-9453-403E-9B9C-0FBE0DDBB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3045</Words>
  <Characters>3868</Characters>
  <Application>Microsoft Office Word</Application>
  <DocSecurity>0</DocSecurity>
  <Lines>133</Lines>
  <Paragraphs>115</Paragraphs>
  <ScaleCrop>false</ScaleCrop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ADY-AL10</dc:creator>
  <cp:lastModifiedBy>Cathy L</cp:lastModifiedBy>
  <cp:revision>21</cp:revision>
  <cp:lastPrinted>2026-03-01T03:32:00Z</cp:lastPrinted>
  <dcterms:created xsi:type="dcterms:W3CDTF">2026-02-28T03:08:00Z</dcterms:created>
  <dcterms:modified xsi:type="dcterms:W3CDTF">2026-03-01T03:35:00Z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15a8c8296e884337b9c962901441639f_21</vt:lpwstr>
  </property>
</Properties>
</file>